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480" w:lineRule="auto"/>
        <w:jc w:val="center"/>
        <w:rPr>
          <w:rFonts w:hint="eastAsia" w:ascii="宋体" w:hAnsi="宋体" w:eastAsia="宋体" w:cs="Times New Roman"/>
          <w:b/>
          <w:bCs/>
          <w:kern w:val="2"/>
          <w:sz w:val="52"/>
          <w:szCs w:val="52"/>
          <w:u w:val="single"/>
          <w:lang w:val="en-US" w:eastAsia="zh-CN"/>
        </w:rPr>
      </w:pPr>
    </w:p>
    <w:p>
      <w:pPr>
        <w:tabs>
          <w:tab w:val="left" w:pos="315"/>
          <w:tab w:val="left" w:pos="8820"/>
        </w:tabs>
        <w:spacing w:line="480" w:lineRule="auto"/>
        <w:jc w:val="center"/>
        <w:rPr>
          <w:rFonts w:hint="eastAsia" w:ascii="宋体" w:hAnsi="宋体" w:eastAsia="宋体" w:cs="Times New Roman"/>
          <w:b/>
          <w:bCs/>
          <w:kern w:val="2"/>
          <w:sz w:val="52"/>
          <w:szCs w:val="52"/>
          <w:u w:val="single"/>
          <w:lang w:val="en-US" w:eastAsia="zh-CN"/>
        </w:rPr>
      </w:pPr>
      <w:r>
        <w:rPr>
          <w:rFonts w:hint="eastAsia" w:ascii="宋体" w:hAnsi="宋体" w:eastAsia="宋体" w:cs="Times New Roman"/>
          <w:b/>
          <w:bCs/>
          <w:kern w:val="2"/>
          <w:sz w:val="52"/>
          <w:szCs w:val="52"/>
          <w:u w:val="single"/>
          <w:lang w:val="en-US" w:eastAsia="zh-CN"/>
        </w:rPr>
        <w:t>宁国市河沥文化街区EPC项目夜景亮化专业分包工程</w:t>
      </w:r>
    </w:p>
    <w:p>
      <w:pPr>
        <w:pStyle w:val="2"/>
        <w:rPr>
          <w:rFonts w:hint="eastAsia"/>
          <w:lang w:val="en-US" w:eastAsia="zh-CN"/>
        </w:rPr>
      </w:pPr>
    </w:p>
    <w:p>
      <w:pPr>
        <w:tabs>
          <w:tab w:val="left" w:pos="315"/>
          <w:tab w:val="left" w:pos="8820"/>
        </w:tabs>
        <w:spacing w:line="480" w:lineRule="auto"/>
        <w:jc w:val="center"/>
        <w:rPr>
          <w:rFonts w:hint="eastAsia" w:ascii="宋体" w:hAnsi="宋体" w:eastAsia="宋体" w:cs="宋体"/>
          <w:b/>
          <w:bCs/>
          <w:sz w:val="52"/>
        </w:rPr>
      </w:pPr>
      <w:r>
        <w:rPr>
          <w:rFonts w:hint="eastAsia" w:ascii="宋体" w:hAnsi="宋体" w:eastAsia="宋体" w:cs="宋体"/>
          <w:b/>
          <w:bCs/>
          <w:sz w:val="52"/>
          <w:szCs w:val="52"/>
        </w:rPr>
        <w:t>招标</w:t>
      </w:r>
      <w:r>
        <w:rPr>
          <w:rFonts w:hint="eastAsia" w:ascii="宋体" w:hAnsi="宋体" w:eastAsia="宋体" w:cs="宋体"/>
          <w:b/>
          <w:bCs/>
          <w:sz w:val="52"/>
        </w:rPr>
        <w:t>文件</w:t>
      </w:r>
    </w:p>
    <w:p>
      <w:pPr>
        <w:tabs>
          <w:tab w:val="left" w:pos="315"/>
          <w:tab w:val="left" w:pos="8820"/>
        </w:tabs>
        <w:spacing w:line="480" w:lineRule="auto"/>
        <w:jc w:val="center"/>
        <w:rPr>
          <w:rFonts w:hint="eastAsia" w:ascii="微软简标宋"/>
          <w:b/>
          <w:bCs/>
          <w:sz w:val="52"/>
        </w:rPr>
      </w:pPr>
      <w:r>
        <w:rPr>
          <w:rFonts w:hint="eastAsia" w:ascii="微软简标宋"/>
          <w:b/>
          <w:bCs/>
          <w:sz w:val="52"/>
        </w:rPr>
        <w:t>（工程施工类）</w:t>
      </w:r>
    </w:p>
    <w:p>
      <w:pPr>
        <w:pStyle w:val="2"/>
        <w:rPr>
          <w:rFonts w:hint="default"/>
          <w:lang w:val="en-US" w:eastAsia="zh-CN"/>
        </w:rPr>
      </w:pPr>
    </w:p>
    <w:p>
      <w:pPr>
        <w:rPr>
          <w:rFonts w:hint="default"/>
          <w:lang w:val="en-US" w:eastAsia="zh-CN"/>
        </w:rPr>
      </w:pPr>
    </w:p>
    <w:p>
      <w:pPr>
        <w:pStyle w:val="43"/>
        <w:ind w:left="0" w:leftChars="0" w:firstLine="0" w:firstLineChars="0"/>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rPr>
          <w:rFonts w:hint="eastAsia"/>
          <w:lang w:eastAsia="zh-CN"/>
        </w:rPr>
      </w:pPr>
    </w:p>
    <w:p>
      <w:pPr>
        <w:spacing w:line="360" w:lineRule="auto"/>
        <w:ind w:firstLine="321" w:firstLineChars="100"/>
        <w:jc w:val="both"/>
        <w:rPr>
          <w:rFonts w:hint="eastAsia" w:asciiTheme="minorEastAsia" w:hAnsiTheme="minorEastAsia" w:eastAsiaTheme="minorEastAsia" w:cstheme="minorEastAsia"/>
          <w:b/>
          <w:bCs w:val="0"/>
          <w:spacing w:val="20"/>
          <w:kern w:val="0"/>
          <w:sz w:val="28"/>
          <w:szCs w:val="28"/>
          <w:u w:val="single"/>
        </w:rPr>
      </w:pPr>
      <w:r>
        <w:rPr>
          <w:rFonts w:hint="eastAsia" w:asciiTheme="minorEastAsia" w:hAnsiTheme="minorEastAsia" w:eastAsiaTheme="minorEastAsia" w:cstheme="minorEastAsia"/>
          <w:b/>
          <w:bCs w:val="0"/>
          <w:spacing w:val="20"/>
          <w:kern w:val="0"/>
          <w:sz w:val="28"/>
          <w:szCs w:val="28"/>
        </w:rPr>
        <w:t>项目名称:</w:t>
      </w:r>
      <w:r>
        <w:rPr>
          <w:rFonts w:hint="eastAsia" w:asciiTheme="minorEastAsia" w:hAnsiTheme="minorEastAsia" w:eastAsiaTheme="minorEastAsia" w:cstheme="minorEastAsia"/>
          <w:b/>
          <w:bCs w:val="0"/>
          <w:spacing w:val="20"/>
          <w:kern w:val="0"/>
          <w:sz w:val="28"/>
          <w:szCs w:val="28"/>
          <w:u w:val="single"/>
          <w:lang w:val="en-US" w:eastAsia="zh-CN"/>
        </w:rPr>
        <w:t>宁国市</w:t>
      </w:r>
      <w:r>
        <w:rPr>
          <w:rFonts w:hint="eastAsia" w:asciiTheme="minorEastAsia" w:hAnsiTheme="minorEastAsia" w:eastAsiaTheme="minorEastAsia" w:cstheme="minorEastAsia"/>
          <w:b/>
          <w:bCs w:val="0"/>
          <w:color w:val="auto"/>
          <w:sz w:val="28"/>
          <w:szCs w:val="28"/>
          <w:u w:val="single"/>
          <w:lang w:val="en-US" w:eastAsia="zh-CN"/>
        </w:rPr>
        <w:t>河沥文化街区EPC项目夜景亮化专业分包工程</w:t>
      </w:r>
    </w:p>
    <w:p>
      <w:pPr>
        <w:tabs>
          <w:tab w:val="left" w:pos="2410"/>
        </w:tabs>
        <w:autoSpaceDE w:val="0"/>
        <w:autoSpaceDN w:val="0"/>
        <w:adjustRightInd w:val="0"/>
        <w:snapToGrid w:val="0"/>
        <w:spacing w:line="360" w:lineRule="auto"/>
        <w:ind w:firstLine="321" w:firstLineChars="100"/>
        <w:jc w:val="left"/>
        <w:rPr>
          <w:rFonts w:hint="eastAsia" w:asciiTheme="minorEastAsia" w:hAnsiTheme="minorEastAsia" w:eastAsiaTheme="minorEastAsia" w:cstheme="minorEastAsia"/>
          <w:b/>
          <w:bCs w:val="0"/>
          <w:spacing w:val="20"/>
          <w:kern w:val="0"/>
          <w:sz w:val="28"/>
          <w:szCs w:val="28"/>
          <w:u w:val="single"/>
        </w:rPr>
      </w:pPr>
      <w:r>
        <w:rPr>
          <w:rFonts w:hint="eastAsia" w:asciiTheme="minorEastAsia" w:hAnsiTheme="minorEastAsia" w:eastAsiaTheme="minorEastAsia" w:cstheme="minorEastAsia"/>
          <w:b/>
          <w:bCs w:val="0"/>
          <w:spacing w:val="20"/>
          <w:kern w:val="0"/>
          <w:sz w:val="28"/>
          <w:szCs w:val="28"/>
        </w:rPr>
        <w:t xml:space="preserve">项目编号: </w:t>
      </w:r>
      <w:r>
        <w:rPr>
          <w:rFonts w:hint="eastAsia" w:asciiTheme="minorEastAsia" w:hAnsiTheme="minorEastAsia" w:eastAsiaTheme="minorEastAsia" w:cstheme="minorEastAsia"/>
          <w:b/>
          <w:bCs w:val="0"/>
          <w:color w:val="auto"/>
          <w:sz w:val="28"/>
          <w:szCs w:val="28"/>
          <w:u w:val="single"/>
          <w:lang w:val="en-US" w:eastAsia="zh-CN"/>
        </w:rPr>
        <w:t>AHJT-2024-03-05</w:t>
      </w:r>
      <w:r>
        <w:rPr>
          <w:rFonts w:hint="eastAsia" w:asciiTheme="minorEastAsia" w:hAnsiTheme="minorEastAsia" w:eastAsiaTheme="minorEastAsia" w:cstheme="minorEastAsia"/>
          <w:b/>
          <w:bCs w:val="0"/>
          <w:color w:val="auto"/>
          <w:sz w:val="28"/>
          <w:szCs w:val="28"/>
          <w:u w:val="single"/>
          <w:lang w:eastAsia="zh-CN"/>
        </w:rPr>
        <w:t xml:space="preserve">   </w:t>
      </w:r>
      <w:r>
        <w:rPr>
          <w:rFonts w:hint="eastAsia" w:asciiTheme="minorEastAsia" w:hAnsiTheme="minorEastAsia" w:eastAsiaTheme="minorEastAsia" w:cstheme="minorEastAsia"/>
          <w:b/>
          <w:bCs w:val="0"/>
          <w:spacing w:val="20"/>
          <w:kern w:val="0"/>
          <w:sz w:val="28"/>
          <w:szCs w:val="28"/>
          <w:u w:val="single"/>
        </w:rPr>
        <w:t xml:space="preserve">      </w:t>
      </w:r>
    </w:p>
    <w:p>
      <w:pPr>
        <w:tabs>
          <w:tab w:val="left" w:pos="2410"/>
        </w:tabs>
        <w:autoSpaceDE w:val="0"/>
        <w:autoSpaceDN w:val="0"/>
        <w:adjustRightInd w:val="0"/>
        <w:snapToGrid w:val="0"/>
        <w:spacing w:line="360" w:lineRule="auto"/>
        <w:ind w:firstLine="321"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val="0"/>
          <w:spacing w:val="20"/>
          <w:kern w:val="0"/>
          <w:sz w:val="28"/>
          <w:szCs w:val="28"/>
          <w:lang w:val="en-US" w:eastAsia="zh-CN"/>
        </w:rPr>
        <w:t>发包</w:t>
      </w:r>
      <w:r>
        <w:rPr>
          <w:rFonts w:hint="eastAsia" w:asciiTheme="minorEastAsia" w:hAnsiTheme="minorEastAsia" w:eastAsiaTheme="minorEastAsia" w:cstheme="minorEastAsia"/>
          <w:b/>
          <w:bCs w:val="0"/>
          <w:spacing w:val="20"/>
          <w:kern w:val="0"/>
          <w:sz w:val="28"/>
          <w:szCs w:val="28"/>
        </w:rPr>
        <w:t>人：</w:t>
      </w:r>
      <w:r>
        <w:rPr>
          <w:rFonts w:hint="eastAsia" w:asciiTheme="minorEastAsia" w:hAnsiTheme="minorEastAsia" w:eastAsiaTheme="minorEastAsia" w:cstheme="minorEastAsia"/>
          <w:b/>
          <w:bCs w:val="0"/>
          <w:color w:val="auto"/>
          <w:sz w:val="28"/>
          <w:szCs w:val="28"/>
          <w:u w:val="single"/>
          <w:lang w:eastAsia="zh-CN"/>
        </w:rPr>
        <w:t>安徽津腾建设工程有限公司</w:t>
      </w:r>
      <w:r>
        <w:rPr>
          <w:rFonts w:hint="eastAsia" w:asciiTheme="minorEastAsia" w:hAnsiTheme="minorEastAsia" w:eastAsiaTheme="minorEastAsia" w:cstheme="minorEastAsia"/>
          <w:b/>
          <w:bCs w:val="0"/>
          <w:spacing w:val="20"/>
          <w:kern w:val="0"/>
          <w:sz w:val="28"/>
          <w:szCs w:val="28"/>
          <w:u w:val="single"/>
        </w:rPr>
        <w:t xml:space="preserve">    </w:t>
      </w:r>
    </w:p>
    <w:p>
      <w:pPr>
        <w:spacing w:line="360" w:lineRule="auto"/>
        <w:rPr>
          <w:rFonts w:hint="default"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 xml:space="preserve">                     </w:t>
      </w:r>
      <w:r>
        <w:rPr>
          <w:rFonts w:hint="eastAsia" w:ascii="宋体" w:hAnsi="宋体" w:eastAsia="宋体" w:cs="宋体"/>
          <w:b/>
          <w:bCs/>
          <w:color w:val="auto"/>
          <w:sz w:val="28"/>
          <w:szCs w:val="28"/>
          <w:u w:val="none"/>
          <w:lang w:val="en-US" w:eastAsia="zh-CN"/>
        </w:rPr>
        <w:t>2024年03月21日</w:t>
      </w:r>
    </w:p>
    <w:p>
      <w:pPr>
        <w:spacing w:line="360" w:lineRule="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      </w:t>
      </w:r>
    </w:p>
    <w:p>
      <w:pPr>
        <w:pStyle w:val="2"/>
        <w:rPr>
          <w:rFonts w:hint="eastAsia"/>
          <w:color w:val="auto"/>
        </w:rPr>
        <w:sectPr>
          <w:headerReference r:id="rId4" w:type="first"/>
          <w:footerReference r:id="rId7" w:type="first"/>
          <w:headerReference r:id="rId3" w:type="default"/>
          <w:footerReference r:id="rId5" w:type="default"/>
          <w:footerReference r:id="rId6" w:type="even"/>
          <w:pgSz w:w="11906" w:h="16838"/>
          <w:pgMar w:top="1246" w:right="1800" w:bottom="468" w:left="1800" w:header="851" w:footer="992" w:gutter="0"/>
          <w:pgNumType w:fmt="decimal" w:start="1"/>
          <w:cols w:space="720" w:num="1"/>
          <w:titlePg/>
          <w:docGrid w:type="lines" w:linePitch="312" w:charSpace="0"/>
        </w:sectPr>
      </w:pPr>
    </w:p>
    <w:p>
      <w:pPr>
        <w:numPr>
          <w:ilvl w:val="0"/>
          <w:numId w:val="0"/>
        </w:numPr>
        <w:jc w:val="center"/>
        <w:rPr>
          <w:rFonts w:hint="eastAsia" w:ascii="黑体" w:hAnsi="黑体" w:eastAsia="黑体" w:cs="黑体"/>
          <w:b/>
          <w:bCs/>
          <w:color w:val="auto"/>
          <w:sz w:val="36"/>
          <w:szCs w:val="36"/>
          <w:lang w:eastAsia="zh-CN"/>
        </w:rPr>
      </w:pPr>
      <w:r>
        <w:rPr>
          <w:rFonts w:hint="eastAsia" w:ascii="黑体" w:hAnsi="黑体" w:eastAsia="黑体" w:cs="黑体"/>
          <w:b/>
          <w:bCs/>
          <w:color w:val="auto"/>
          <w:sz w:val="36"/>
          <w:szCs w:val="36"/>
          <w:lang w:eastAsia="zh-CN"/>
        </w:rPr>
        <w:t>目</w:t>
      </w:r>
      <w:r>
        <w:rPr>
          <w:rFonts w:hint="eastAsia" w:ascii="黑体" w:hAnsi="黑体" w:eastAsia="黑体" w:cs="黑体"/>
          <w:b/>
          <w:bCs/>
          <w:color w:val="auto"/>
          <w:sz w:val="36"/>
          <w:szCs w:val="36"/>
          <w:lang w:val="en-US" w:eastAsia="zh-CN"/>
        </w:rPr>
        <w:t xml:space="preserve">  </w:t>
      </w:r>
      <w:r>
        <w:rPr>
          <w:rFonts w:hint="eastAsia" w:ascii="黑体" w:hAnsi="黑体" w:eastAsia="黑体" w:cs="黑体"/>
          <w:b/>
          <w:bCs/>
          <w:color w:val="auto"/>
          <w:sz w:val="36"/>
          <w:szCs w:val="36"/>
          <w:lang w:eastAsia="zh-CN"/>
        </w:rPr>
        <w:t>录</w:t>
      </w:r>
    </w:p>
    <w:p>
      <w:pPr>
        <w:pStyle w:val="43"/>
        <w:rPr>
          <w:rFonts w:hint="eastAsia"/>
          <w:lang w:eastAsia="zh-CN"/>
        </w:rPr>
      </w:pPr>
    </w:p>
    <w:p>
      <w:pPr>
        <w:numPr>
          <w:ilvl w:val="0"/>
          <w:numId w:val="0"/>
        </w:numP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 xml:space="preserve">第一章  </w:t>
      </w:r>
      <w:r>
        <w:rPr>
          <w:rFonts w:hint="eastAsia" w:ascii="宋体" w:hAnsi="宋体" w:eastAsia="宋体" w:cs="宋体"/>
          <w:b/>
          <w:bCs/>
          <w:color w:val="auto"/>
          <w:sz w:val="32"/>
          <w:szCs w:val="32"/>
        </w:rPr>
        <w:t>招标公告</w:t>
      </w:r>
    </w:p>
    <w:p>
      <w:pPr>
        <w:numPr>
          <w:ilvl w:val="0"/>
          <w:numId w:val="0"/>
        </w:num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第二章  </w:t>
      </w:r>
      <w:r>
        <w:rPr>
          <w:rFonts w:hint="eastAsia" w:ascii="宋体" w:hAnsi="宋体" w:eastAsia="宋体" w:cs="宋体"/>
          <w:b/>
          <w:bCs/>
          <w:color w:val="auto"/>
          <w:sz w:val="32"/>
          <w:szCs w:val="32"/>
        </w:rPr>
        <w:t>投标人须知</w:t>
      </w:r>
    </w:p>
    <w:p>
      <w:pPr>
        <w:numPr>
          <w:ilvl w:val="0"/>
          <w:numId w:val="0"/>
        </w:num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第三章  </w:t>
      </w:r>
      <w:r>
        <w:rPr>
          <w:rFonts w:hint="eastAsia" w:ascii="宋体" w:hAnsi="宋体" w:eastAsia="宋体" w:cs="宋体"/>
          <w:b/>
          <w:bCs/>
          <w:color w:val="auto"/>
          <w:sz w:val="32"/>
          <w:szCs w:val="32"/>
        </w:rPr>
        <w:t>投标文件的组成</w:t>
      </w:r>
    </w:p>
    <w:p>
      <w:pPr>
        <w:numPr>
          <w:ilvl w:val="0"/>
          <w:numId w:val="0"/>
        </w:numPr>
        <w:ind w:leftChars="0"/>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 xml:space="preserve">第四章  </w:t>
      </w:r>
      <w:r>
        <w:rPr>
          <w:rFonts w:hint="eastAsia" w:ascii="宋体" w:hAnsi="宋体" w:eastAsia="宋体" w:cs="宋体"/>
          <w:b/>
          <w:bCs/>
          <w:color w:val="auto"/>
          <w:sz w:val="32"/>
          <w:szCs w:val="32"/>
        </w:rPr>
        <w:t>评标办法</w:t>
      </w:r>
    </w:p>
    <w:p>
      <w:pPr>
        <w:numPr>
          <w:ilvl w:val="0"/>
          <w:numId w:val="0"/>
        </w:num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第五章  </w:t>
      </w:r>
      <w:r>
        <w:rPr>
          <w:rFonts w:hint="eastAsia" w:ascii="宋体" w:hAnsi="宋体" w:eastAsia="宋体" w:cs="宋体"/>
          <w:b/>
          <w:bCs/>
          <w:color w:val="auto"/>
          <w:sz w:val="32"/>
          <w:szCs w:val="32"/>
        </w:rPr>
        <w:t>投标文件格式</w:t>
      </w: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pStyle w:val="2"/>
        <w:rPr>
          <w:rFonts w:hint="eastAsia"/>
          <w:color w:val="auto"/>
          <w:lang w:val="en-US" w:eastAsia="zh-CN"/>
        </w:rPr>
      </w:pPr>
    </w:p>
    <w:p>
      <w:pPr>
        <w:rPr>
          <w:rFonts w:hint="eastAsia"/>
          <w:color w:val="auto"/>
          <w:lang w:val="en-US" w:eastAsia="zh-CN"/>
        </w:rPr>
      </w:pPr>
    </w:p>
    <w:p>
      <w:pPr>
        <w:pStyle w:val="43"/>
        <w:rPr>
          <w:rFonts w:hint="eastAsia"/>
          <w:lang w:val="en-US" w:eastAsia="zh-CN"/>
        </w:rPr>
      </w:pPr>
    </w:p>
    <w:p>
      <w:pPr>
        <w:rPr>
          <w:rFonts w:hint="eastAsia"/>
          <w:color w:val="auto"/>
          <w:lang w:val="en-US" w:eastAsia="zh-CN"/>
        </w:rPr>
      </w:pPr>
    </w:p>
    <w:p>
      <w:pPr>
        <w:numPr>
          <w:ilvl w:val="0"/>
          <w:numId w:val="1"/>
        </w:numPr>
        <w:spacing w:line="360" w:lineRule="auto"/>
        <w:jc w:val="center"/>
        <w:rPr>
          <w:rFonts w:hint="eastAsia" w:ascii="黑体" w:hAnsi="黑体" w:eastAsia="黑体" w:cs="黑体"/>
          <w:b/>
          <w:bCs w:val="0"/>
          <w:color w:val="auto"/>
          <w:spacing w:val="37"/>
          <w:sz w:val="44"/>
          <w:szCs w:val="44"/>
          <w:lang w:eastAsia="zh-CN"/>
        </w:rPr>
      </w:pPr>
      <w:bookmarkStart w:id="0" w:name="_Toc329851755"/>
      <w:bookmarkStart w:id="1" w:name="_Toc246996903"/>
      <w:bookmarkStart w:id="2" w:name="_Toc247085674"/>
      <w:bookmarkStart w:id="3" w:name="_Toc246996160"/>
      <w:bookmarkStart w:id="4" w:name="_Toc144974482"/>
      <w:bookmarkStart w:id="5" w:name="_Toc179632530"/>
      <w:bookmarkStart w:id="6" w:name="_Toc152045514"/>
      <w:bookmarkStart w:id="7" w:name="_Toc152042290"/>
      <w:r>
        <w:rPr>
          <w:rFonts w:hint="eastAsia" w:ascii="黑体" w:hAnsi="黑体" w:eastAsia="黑体" w:cs="黑体"/>
          <w:b/>
          <w:bCs w:val="0"/>
          <w:color w:val="auto"/>
          <w:spacing w:val="37"/>
          <w:sz w:val="44"/>
          <w:szCs w:val="44"/>
          <w:lang w:val="en-US" w:eastAsia="zh-CN"/>
        </w:rPr>
        <w:t xml:space="preserve"> </w:t>
      </w:r>
      <w:r>
        <w:rPr>
          <w:rFonts w:hint="eastAsia" w:ascii="黑体" w:hAnsi="黑体" w:eastAsia="黑体" w:cs="黑体"/>
          <w:b/>
          <w:bCs w:val="0"/>
          <w:color w:val="auto"/>
          <w:spacing w:val="37"/>
          <w:sz w:val="44"/>
          <w:szCs w:val="44"/>
          <w:lang w:eastAsia="zh-CN"/>
        </w:rPr>
        <w:t>招标公告</w:t>
      </w:r>
    </w:p>
    <w:p>
      <w:pPr>
        <w:pStyle w:val="43"/>
        <w:numPr>
          <w:ilvl w:val="0"/>
          <w:numId w:val="0"/>
        </w:numPr>
        <w:ind w:leftChars="4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 项目概况与招标内容、规模:</w:t>
      </w:r>
    </w:p>
    <w:p>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1.1、项目名称：</w:t>
      </w:r>
      <w:r>
        <w:rPr>
          <w:rFonts w:hint="eastAsia" w:ascii="宋体" w:hAnsi="宋体" w:eastAsia="宋体" w:cs="宋体"/>
          <w:color w:val="auto"/>
          <w:sz w:val="24"/>
          <w:szCs w:val="24"/>
          <w:u w:val="none"/>
          <w:lang w:val="en-US" w:eastAsia="zh-CN"/>
        </w:rPr>
        <w:t>宁国市河沥文化街区EPC项目夜景亮化专业分包工程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1.2、项目编号：</w:t>
      </w:r>
      <w:r>
        <w:rPr>
          <w:rFonts w:hint="eastAsia" w:ascii="宋体" w:hAnsi="宋体" w:eastAsia="宋体" w:cs="宋体"/>
          <w:b w:val="0"/>
          <w:bCs w:val="0"/>
          <w:color w:val="auto"/>
          <w:sz w:val="24"/>
          <w:szCs w:val="24"/>
          <w:lang w:val="en-US" w:eastAsia="zh-CN"/>
        </w:rPr>
        <w:t>AHJT-2024-03-05</w:t>
      </w:r>
    </w:p>
    <w:p>
      <w:pPr>
        <w:keepNext w:val="0"/>
        <w:keepLines w:val="0"/>
        <w:widowControl/>
        <w:suppressLineNumbers w:val="0"/>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1.3、范围及内容:</w:t>
      </w:r>
      <w:r>
        <w:rPr>
          <w:rFonts w:hint="eastAsia" w:ascii="宋体" w:hAnsi="宋体" w:eastAsia="宋体" w:cs="宋体"/>
          <w:b w:val="0"/>
          <w:bCs w:val="0"/>
          <w:color w:val="auto"/>
          <w:sz w:val="24"/>
          <w:szCs w:val="24"/>
          <w:lang w:val="en-US" w:eastAsia="zh-CN"/>
        </w:rPr>
        <w:t>启动区及一期亮化工程，包含</w:t>
      </w:r>
      <w:r>
        <w:rPr>
          <w:rFonts w:hint="eastAsia" w:ascii="宋体" w:hAnsi="宋体" w:eastAsia="宋体" w:cs="宋体"/>
          <w:color w:val="auto"/>
          <w:sz w:val="24"/>
          <w:szCs w:val="24"/>
          <w:lang w:val="en-US" w:eastAsia="zh-CN"/>
        </w:rPr>
        <w:t>灯具电源设备、电力电缆、管材及相关辅材件、控制系统等 ，详见设计图纸。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b/>
          <w:bCs/>
          <w:color w:val="auto"/>
          <w:sz w:val="24"/>
          <w:szCs w:val="24"/>
          <w:lang w:val="en-US" w:eastAsia="zh-CN"/>
        </w:rPr>
        <w:t>1.4、招标方式：</w:t>
      </w:r>
      <w:r>
        <w:rPr>
          <w:rFonts w:hint="eastAsia" w:ascii="宋体" w:hAnsi="宋体" w:eastAsia="宋体" w:cs="宋体"/>
          <w:color w:val="auto"/>
          <w:sz w:val="24"/>
          <w:szCs w:val="24"/>
          <w:u w:val="none"/>
          <w:lang w:val="en-US" w:eastAsia="zh-CN"/>
        </w:rPr>
        <w:t>挂网招标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1.5、项目地点：</w:t>
      </w:r>
      <w:r>
        <w:rPr>
          <w:rFonts w:hint="eastAsia" w:ascii="宋体" w:hAnsi="宋体" w:cs="宋体"/>
          <w:sz w:val="24"/>
          <w:szCs w:val="24"/>
          <w:lang w:val="en-US" w:eastAsia="zh-CN"/>
        </w:rPr>
        <w:t>安徽省宁国市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1.6、</w:t>
      </w:r>
      <w:r>
        <w:rPr>
          <w:rFonts w:hint="eastAsia" w:ascii="宋体" w:hAnsi="宋体" w:eastAsia="宋体" w:cs="宋体"/>
          <w:sz w:val="24"/>
          <w:szCs w:val="24"/>
          <w:lang w:val="en-US" w:eastAsia="zh-CN"/>
        </w:rPr>
        <w:t>本项目概算价：</w:t>
      </w:r>
      <w:r>
        <w:rPr>
          <w:rFonts w:hint="eastAsia" w:ascii="宋体" w:hAnsi="宋体" w:eastAsia="宋体" w:cs="宋体"/>
          <w:b/>
          <w:bCs/>
          <w:sz w:val="24"/>
          <w:szCs w:val="24"/>
          <w:highlight w:val="none"/>
          <w:u w:val="single"/>
          <w:lang w:val="en-US" w:eastAsia="zh-CN"/>
        </w:rPr>
        <w:t>1210</w:t>
      </w:r>
      <w:r>
        <w:rPr>
          <w:rFonts w:hint="eastAsia" w:ascii="宋体" w:hAnsi="宋体" w:eastAsia="宋体" w:cs="宋体"/>
          <w:b w:val="0"/>
          <w:bCs w:val="0"/>
          <w:sz w:val="24"/>
          <w:szCs w:val="24"/>
          <w:highlight w:val="none"/>
          <w:u w:val="none"/>
          <w:lang w:val="en-US" w:eastAsia="zh-CN"/>
        </w:rPr>
        <w:t>万</w:t>
      </w:r>
      <w:r>
        <w:rPr>
          <w:rFonts w:hint="eastAsia" w:ascii="宋体" w:hAnsi="宋体" w:cs="宋体"/>
          <w:sz w:val="24"/>
          <w:szCs w:val="24"/>
          <w:lang w:val="en-US" w:eastAsia="zh-CN"/>
        </w:rPr>
        <w:t>元（暂定价）。</w:t>
      </w:r>
      <w:r>
        <w:rPr>
          <w:rFonts w:hint="eastAsia" w:ascii="宋体" w:hAnsi="宋体" w:cs="宋体"/>
          <w:color w:val="auto"/>
          <w:sz w:val="24"/>
          <w:szCs w:val="24"/>
          <w:lang w:val="en-US" w:eastAsia="zh-CN"/>
        </w:rPr>
        <w:t>本工程按费率报价，</w:t>
      </w:r>
      <w:r>
        <w:rPr>
          <w:rFonts w:hint="eastAsia" w:ascii="宋体" w:hAnsi="宋体" w:eastAsia="宋体" w:cs="宋体"/>
          <w:color w:val="000000"/>
          <w:kern w:val="0"/>
          <w:sz w:val="24"/>
          <w:szCs w:val="24"/>
          <w:lang w:val="en-US" w:eastAsia="zh-CN" w:bidi="ar"/>
        </w:rPr>
        <w:t>报价折扣率区间为</w:t>
      </w:r>
      <w:r>
        <w:rPr>
          <w:rFonts w:hint="eastAsia" w:ascii="宋体" w:hAnsi="宋体" w:eastAsia="宋体" w:cs="宋体"/>
          <w:b/>
          <w:bCs/>
          <w:color w:val="000000"/>
          <w:kern w:val="0"/>
          <w:sz w:val="24"/>
          <w:szCs w:val="24"/>
          <w:highlight w:val="none"/>
          <w:lang w:val="en-US" w:eastAsia="zh-CN" w:bidi="ar"/>
        </w:rPr>
        <w:t>65%-72%</w:t>
      </w:r>
      <w:r>
        <w:rPr>
          <w:rFonts w:hint="eastAsia" w:ascii="宋体" w:hAnsi="宋体" w:eastAsia="宋体" w:cs="宋体"/>
          <w:color w:val="000000"/>
          <w:kern w:val="0"/>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u w:val="single"/>
          <w:lang w:val="en-US" w:eastAsia="zh-CN"/>
        </w:rPr>
      </w:pPr>
      <w:r>
        <w:rPr>
          <w:rFonts w:hint="eastAsia" w:ascii="宋体" w:hAnsi="宋体" w:eastAsia="宋体" w:cs="宋体"/>
          <w:b/>
          <w:bCs/>
          <w:color w:val="auto"/>
          <w:sz w:val="24"/>
          <w:szCs w:val="24"/>
          <w:lang w:val="en-US" w:eastAsia="zh-CN"/>
        </w:rPr>
        <w:t>1.7、总工期：</w:t>
      </w:r>
      <w:r>
        <w:rPr>
          <w:rFonts w:hint="eastAsia" w:ascii="宋体" w:hAnsi="宋体" w:eastAsia="宋体" w:cs="宋体"/>
          <w:b/>
          <w:bCs/>
          <w:color w:val="auto"/>
          <w:sz w:val="24"/>
          <w:szCs w:val="24"/>
          <w:u w:val="none"/>
          <w:lang w:val="en-US" w:eastAsia="zh-CN"/>
        </w:rPr>
        <w:t>120</w:t>
      </w:r>
      <w:r>
        <w:rPr>
          <w:rFonts w:hint="eastAsia" w:ascii="宋体" w:hAnsi="宋体" w:eastAsia="宋体" w:cs="宋体"/>
          <w:color w:val="auto"/>
          <w:sz w:val="24"/>
          <w:szCs w:val="24"/>
          <w:u w:val="none"/>
          <w:lang w:val="en-US" w:eastAsia="zh-CN"/>
        </w:rPr>
        <w:t>日历天（暂定），其中启动区工期60日历天，工期满足招标人要求。</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1.8、工程质量：</w:t>
      </w:r>
      <w:r>
        <w:rPr>
          <w:rFonts w:hint="eastAsia" w:ascii="宋体" w:hAnsi="宋体" w:cs="宋体"/>
          <w:color w:val="auto"/>
          <w:sz w:val="24"/>
          <w:szCs w:val="24"/>
          <w:u w:val="none"/>
          <w:lang w:val="en-US" w:eastAsia="zh-CN"/>
        </w:rPr>
        <w:t>合格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b/>
          <w:bCs/>
          <w:color w:val="auto"/>
          <w:sz w:val="24"/>
          <w:szCs w:val="24"/>
          <w:lang w:eastAsia="zh-CN"/>
        </w:rPr>
        <w:t xml:space="preserve">及注意事项 </w:t>
      </w:r>
      <w:r>
        <w:rPr>
          <w:rFonts w:hint="eastAsia" w:ascii="宋体" w:hAnsi="宋体" w:eastAsia="宋体" w:cs="宋体"/>
          <w:color w:val="auto"/>
          <w:sz w:val="24"/>
          <w:szCs w:val="24"/>
          <w:lang w:eastAsia="zh-CN"/>
        </w:rPr>
        <w:t xml:space="preserve"> </w:t>
      </w:r>
    </w:p>
    <w:p>
      <w:pPr>
        <w:pStyle w:val="205"/>
        <w:keepNext w:val="0"/>
        <w:keepLines w:val="0"/>
        <w:pageBreakBefore w:val="0"/>
        <w:shd w:val="clear" w:color="auto" w:fill="FFFFFF"/>
        <w:kinsoku/>
        <w:wordWrap/>
        <w:overflowPunct/>
        <w:topLinePunct w:val="0"/>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资格要求：</w:t>
      </w:r>
      <w:bookmarkStart w:id="8" w:name="_Toc152042292"/>
      <w:bookmarkStart w:id="9" w:name="_Toc179632532"/>
      <w:bookmarkStart w:id="10" w:name="_Toc247085676"/>
      <w:bookmarkStart w:id="11" w:name="_Toc246996162"/>
      <w:bookmarkStart w:id="12" w:name="_Toc152045516"/>
      <w:bookmarkStart w:id="13" w:name="_Toc246996905"/>
      <w:bookmarkStart w:id="14" w:name="_Toc144974484"/>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szCs w:val="24"/>
          <w:lang w:val="en-US" w:eastAsia="zh-CN"/>
        </w:rPr>
        <w:t>2.1、</w:t>
      </w:r>
      <w:r>
        <w:rPr>
          <w:rFonts w:hint="eastAsia" w:ascii="宋体" w:hAnsi="宋体" w:eastAsia="宋体" w:cs="宋体"/>
          <w:color w:val="auto"/>
          <w:kern w:val="0"/>
          <w:sz w:val="24"/>
          <w:szCs w:val="24"/>
          <w:highlight w:val="none"/>
        </w:rPr>
        <w:t>依法成立并有效存续的境内企业法</w:t>
      </w:r>
      <w:r>
        <w:rPr>
          <w:rFonts w:hint="eastAsia" w:ascii="宋体" w:hAnsi="宋体" w:eastAsia="宋体" w:cs="宋体"/>
          <w:color w:val="auto"/>
          <w:kern w:val="0"/>
          <w:sz w:val="24"/>
          <w:szCs w:val="24"/>
          <w:highlight w:val="none"/>
          <w:lang w:val="en-US" w:eastAsia="zh-CN"/>
        </w:rPr>
        <w:t>人</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2.2、投标人具备城市与道路照明工程专业承包</w:t>
      </w:r>
      <w:r>
        <w:rPr>
          <w:rFonts w:hint="eastAsia" w:ascii="宋体" w:hAnsi="宋体" w:eastAsia="宋体" w:cs="宋体"/>
          <w:b/>
          <w:bCs/>
          <w:color w:val="auto"/>
          <w:sz w:val="24"/>
          <w:szCs w:val="24"/>
          <w:lang w:val="en-US" w:eastAsia="zh-CN"/>
        </w:rPr>
        <w:t>壹级</w:t>
      </w:r>
      <w:r>
        <w:rPr>
          <w:rFonts w:hint="eastAsia" w:ascii="宋体" w:hAnsi="宋体" w:eastAsia="宋体" w:cs="宋体"/>
          <w:color w:val="auto"/>
          <w:sz w:val="24"/>
          <w:szCs w:val="24"/>
          <w:lang w:val="en-US" w:eastAsia="zh-CN"/>
        </w:rPr>
        <w:t>资质；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2.3、投标人经营范围包含电子设备销售或建筑材料等贸易资格；</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2.4、投标人具有有效的安全生产许可证。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r>
        <w:rPr>
          <w:rFonts w:hint="eastAsia" w:ascii="宋体" w:hAnsi="宋体" w:eastAsia="宋体" w:cs="宋体"/>
          <w:b/>
          <w:bCs/>
          <w:color w:val="auto"/>
          <w:sz w:val="24"/>
          <w:szCs w:val="24"/>
          <w:lang w:val="en-US" w:eastAsia="zh-CN"/>
        </w:rPr>
        <w:t>项目经理资格要求：</w:t>
      </w:r>
      <w:r>
        <w:rPr>
          <w:rFonts w:hint="eastAsia" w:ascii="宋体" w:hAnsi="宋体" w:eastAsia="宋体" w:cs="宋体"/>
          <w:color w:val="auto"/>
          <w:sz w:val="24"/>
          <w:szCs w:val="24"/>
          <w:lang w:val="en-US" w:eastAsia="zh-CN"/>
        </w:rPr>
        <w:t>具有机电工程专业二级注册建造师资格,</w:t>
      </w:r>
      <w:r>
        <w:rPr>
          <w:rFonts w:hint="eastAsia" w:ascii="宋体" w:hAnsi="宋体" w:eastAsia="宋体" w:cs="宋体"/>
          <w:b w:val="0"/>
          <w:kern w:val="2"/>
          <w:sz w:val="24"/>
          <w:szCs w:val="24"/>
        </w:rPr>
        <w:t>须取得有效的安全生产考核B类证书</w:t>
      </w:r>
      <w:r>
        <w:rPr>
          <w:rFonts w:hint="eastAsia" w:ascii="宋体" w:hAnsi="宋体" w:eastAsia="宋体" w:cs="宋体"/>
          <w:color w:val="auto"/>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color w:val="auto"/>
          <w:sz w:val="24"/>
          <w:szCs w:val="24"/>
          <w:lang w:val="en-US" w:eastAsia="zh-CN"/>
        </w:rPr>
        <w:t>2.6、</w:t>
      </w:r>
      <w:r>
        <w:rPr>
          <w:rFonts w:hint="eastAsia" w:ascii="宋体" w:hAnsi="宋体" w:eastAsia="宋体" w:cs="宋体"/>
          <w:b/>
          <w:bCs/>
          <w:color w:val="auto"/>
          <w:sz w:val="24"/>
          <w:szCs w:val="24"/>
          <w:lang w:val="en-US" w:eastAsia="zh-CN"/>
        </w:rPr>
        <w:t>企业业绩：</w:t>
      </w:r>
      <w:r>
        <w:rPr>
          <w:rFonts w:hint="eastAsia" w:ascii="宋体" w:hAnsi="宋体" w:eastAsia="宋体" w:cs="宋体"/>
          <w:color w:val="auto"/>
          <w:sz w:val="24"/>
          <w:szCs w:val="24"/>
          <w:lang w:val="en-US" w:eastAsia="zh-CN"/>
        </w:rPr>
        <w:t>近五年（自2019年1月1日以来，以竣工验收日期为准）内具有不少于1个单项合同额500万元及以上的亮化工程施工业绩，</w:t>
      </w:r>
      <w:r>
        <w:rPr>
          <w:rFonts w:hint="eastAsia" w:ascii="宋体" w:hAnsi="宋体" w:eastAsia="宋体" w:cs="宋体"/>
          <w:b/>
          <w:bCs/>
          <w:color w:val="auto"/>
          <w:sz w:val="24"/>
          <w:szCs w:val="24"/>
          <w:lang w:val="en-US" w:eastAsia="zh-CN"/>
        </w:rPr>
        <w:t>需提供合同复印件及竣工验收报告复印件。</w:t>
      </w:r>
    </w:p>
    <w:p>
      <w:pPr>
        <w:keepNext w:val="0"/>
        <w:keepLines w:val="0"/>
        <w:pageBreakBefore w:val="0"/>
        <w:widowControl/>
        <w:shd w:val="clear" w:color="auto" w:fill="FFFFFF"/>
        <w:kinsoku/>
        <w:wordWrap/>
        <w:overflowPunct/>
        <w:topLinePunct w:val="0"/>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本次项目</w:t>
      </w:r>
      <w:r>
        <w:rPr>
          <w:rFonts w:hint="eastAsia" w:ascii="宋体" w:hAnsi="宋体" w:eastAsia="宋体" w:cs="宋体"/>
          <w:b/>
          <w:bCs/>
          <w:color w:val="auto"/>
          <w:sz w:val="24"/>
          <w:szCs w:val="24"/>
          <w:highlight w:val="none"/>
        </w:rPr>
        <w:t>接受联合体</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2.7、</w:t>
      </w:r>
      <w:r>
        <w:rPr>
          <w:rFonts w:hint="eastAsia" w:asciiTheme="minorEastAsia" w:hAnsiTheme="minorEastAsia" w:eastAsiaTheme="minorEastAsia" w:cstheme="minorEastAsia"/>
          <w:b/>
          <w:bCs/>
          <w:color w:val="333333"/>
          <w:kern w:val="0"/>
          <w:sz w:val="24"/>
          <w:szCs w:val="24"/>
        </w:rPr>
        <w:t>联合体投标</w:t>
      </w:r>
      <w:r>
        <w:rPr>
          <w:rFonts w:hint="eastAsia" w:asciiTheme="minorEastAsia" w:hAnsiTheme="minorEastAsia" w:eastAsiaTheme="minorEastAsia" w:cstheme="minorEastAsia"/>
          <w:b/>
          <w:bCs/>
          <w:i w:val="0"/>
          <w:iCs w:val="0"/>
          <w:caps w:val="0"/>
          <w:color w:val="333333"/>
          <w:spacing w:val="0"/>
          <w:sz w:val="24"/>
          <w:szCs w:val="24"/>
          <w:shd w:val="clear" w:fill="FFFFFF"/>
        </w:rPr>
        <w:t>应满足下列要求：</w:t>
      </w:r>
      <w:r>
        <w:rPr>
          <w:rFonts w:hint="eastAsia" w:ascii="宋体" w:hAnsi="宋体" w:eastAsia="宋体" w:cs="宋体"/>
          <w:b w:val="0"/>
          <w:bCs w:val="0"/>
          <w:color w:val="auto"/>
          <w:kern w:val="0"/>
          <w:sz w:val="24"/>
          <w:szCs w:val="24"/>
          <w:lang w:val="en-US" w:eastAsia="zh-CN" w:bidi="ar-SA"/>
        </w:rPr>
        <w:t>联合体牵头人需具备城市与道路照明工程专业承包壹级资质；联合体成员经营范围包含电子设备销售或建筑材料等贸易资格。</w:t>
      </w:r>
      <w:r>
        <w:rPr>
          <w:rFonts w:hint="eastAsia" w:asciiTheme="minorEastAsia" w:hAnsiTheme="minorEastAsia" w:eastAsiaTheme="minorEastAsia" w:cstheme="minorEastAsia"/>
          <w:b w:val="0"/>
          <w:bCs w:val="0"/>
          <w:i w:val="0"/>
          <w:iCs w:val="0"/>
          <w:caps w:val="0"/>
          <w:color w:val="333333"/>
          <w:spacing w:val="0"/>
          <w:sz w:val="24"/>
          <w:szCs w:val="24"/>
          <w:shd w:val="clear" w:fill="FFFFFF"/>
        </w:rPr>
        <w:t>联合体成员不得超过</w:t>
      </w:r>
      <w:r>
        <w:rPr>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w:t>
      </w:r>
      <w:r>
        <w:rPr>
          <w:rFonts w:hint="eastAsia" w:asciiTheme="minorEastAsia" w:hAnsiTheme="minorEastAsia" w:eastAsiaTheme="minorEastAsia" w:cstheme="minorEastAsia"/>
          <w:b w:val="0"/>
          <w:bCs w:val="0"/>
          <w:i w:val="0"/>
          <w:iCs w:val="0"/>
          <w:caps w:val="0"/>
          <w:color w:val="333333"/>
          <w:spacing w:val="0"/>
          <w:sz w:val="24"/>
          <w:szCs w:val="24"/>
          <w:shd w:val="clear" w:fill="FFFFFF"/>
        </w:rPr>
        <w:t>家；联合体各方必须按招标文件中规定的格式签订有效的联合体协议，明确各成员的主要权利和义务，投标时应附带联合体协议；联合体各成员不得再单独提交投标文件或参加其他联合体本项目的投标。异议、投诉应由联合体各方共同提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3、品牌要求：</w:t>
      </w:r>
    </w:p>
    <w:p>
      <w:pPr>
        <w:numPr>
          <w:ilvl w:val="0"/>
          <w:numId w:val="0"/>
        </w:numPr>
        <w:autoSpaceDE w:val="0"/>
        <w:autoSpaceDN w:val="0"/>
        <w:adjustRightInd w:val="0"/>
        <w:spacing w:line="440" w:lineRule="exact"/>
        <w:ind w:leftChars="0" w:right="125" w:rightChars="52" w:firstLine="480" w:firstLineChars="200"/>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所用材料设备产品进场前必须提供“三证</w:t>
      </w:r>
      <w:r>
        <w:rPr>
          <w:rFonts w:hint="default" w:ascii="宋体" w:hAnsi="宋体" w:cs="宋体"/>
          <w:b w:val="0"/>
          <w:bCs w:val="0"/>
          <w:sz w:val="24"/>
          <w:szCs w:val="24"/>
          <w:lang w:val="en-US" w:eastAsia="zh-CN"/>
        </w:rPr>
        <w:t>”</w:t>
      </w:r>
      <w:r>
        <w:rPr>
          <w:rFonts w:hint="eastAsia" w:ascii="宋体" w:hAnsi="宋体" w:cs="宋体"/>
          <w:b w:val="0"/>
          <w:bCs w:val="0"/>
          <w:sz w:val="24"/>
          <w:szCs w:val="24"/>
          <w:lang w:val="en-US" w:eastAsia="zh-CN"/>
        </w:rPr>
        <w:t>（ 生产许可证、产品出厂合格证、质量保证书），承包人采购时必须保证材料质量达到国标，一线品牌，否则不予进场，因材料质量引起的任何问题均由中标人承担,推荐品牌如下：</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041"/>
        <w:gridCol w:w="1558"/>
        <w:gridCol w:w="1303"/>
        <w:gridCol w:w="1457"/>
        <w:gridCol w:w="1384"/>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42" w:type="dxa"/>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041" w:type="dxa"/>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名称</w:t>
            </w:r>
          </w:p>
        </w:tc>
        <w:tc>
          <w:tcPr>
            <w:tcW w:w="6939" w:type="dxa"/>
            <w:gridSpan w:val="5"/>
            <w:noWrap w:val="0"/>
            <w:vAlign w:val="center"/>
          </w:tcPr>
          <w:p>
            <w:pPr>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推荐品牌（仅供参考）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42" w:type="dxa"/>
            <w:noWrap w:val="0"/>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1</w:t>
            </w:r>
          </w:p>
        </w:tc>
        <w:tc>
          <w:tcPr>
            <w:tcW w:w="1041" w:type="dxa"/>
            <w:noWrap w:val="0"/>
            <w:vAlign w:val="center"/>
          </w:tcPr>
          <w:p>
            <w:pPr>
              <w:jc w:val="center"/>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LED芯片</w:t>
            </w:r>
          </w:p>
        </w:tc>
        <w:tc>
          <w:tcPr>
            <w:tcW w:w="6939" w:type="dxa"/>
            <w:gridSpan w:val="5"/>
            <w:noWrap w:val="0"/>
            <w:vAlign w:val="center"/>
          </w:tcPr>
          <w:p>
            <w:pPr>
              <w:jc w:val="center"/>
              <w:rPr>
                <w:rFonts w:hint="default" w:ascii="宋体" w:hAnsi="宋体" w:cs="宋体"/>
                <w:sz w:val="21"/>
                <w:szCs w:val="21"/>
                <w:vertAlign w:val="baseline"/>
                <w:lang w:val="en-US" w:eastAsia="zh-CN"/>
              </w:rPr>
            </w:pPr>
            <w:r>
              <w:rPr>
                <w:rFonts w:hint="default" w:ascii="宋体" w:hAnsi="宋体" w:cs="宋体"/>
                <w:b/>
                <w:bCs/>
                <w:sz w:val="21"/>
                <w:szCs w:val="21"/>
                <w:vertAlign w:val="baseline"/>
                <w:lang w:val="en-US" w:eastAsia="zh-CN"/>
              </w:rPr>
              <w:t>科锐(</w:t>
            </w:r>
            <w:r>
              <w:rPr>
                <w:rFonts w:hint="eastAsia" w:ascii="宋体" w:hAnsi="宋体" w:cs="宋体"/>
                <w:b/>
                <w:bCs/>
                <w:sz w:val="21"/>
                <w:szCs w:val="21"/>
                <w:vertAlign w:val="baseline"/>
                <w:lang w:val="en-US" w:eastAsia="zh-CN"/>
              </w:rPr>
              <w:t>CREE</w:t>
            </w:r>
            <w:r>
              <w:rPr>
                <w:rFonts w:hint="default" w:ascii="宋体" w:hAnsi="宋体" w:cs="宋体"/>
                <w:b/>
                <w:bCs/>
                <w:sz w:val="21"/>
                <w:szCs w:val="21"/>
                <w:vertAlign w:val="baseline"/>
                <w:lang w:val="en-US" w:eastAsia="zh-CN"/>
              </w:rPr>
              <w:t>)、</w:t>
            </w:r>
            <w:r>
              <w:rPr>
                <w:rFonts w:hint="eastAsia" w:ascii="宋体" w:hAnsi="宋体" w:cs="宋体"/>
                <w:b/>
                <w:bCs/>
                <w:sz w:val="21"/>
                <w:szCs w:val="21"/>
                <w:vertAlign w:val="baseline"/>
                <w:lang w:val="en-US" w:eastAsia="zh-CN"/>
              </w:rPr>
              <w:t>欧司朗(OSRAM)、流明纳斯(Luminus)、晶元光电(Epistar)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42" w:type="dxa"/>
            <w:vMerge w:val="restart"/>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2</w:t>
            </w:r>
          </w:p>
        </w:tc>
        <w:tc>
          <w:tcPr>
            <w:tcW w:w="1041" w:type="dxa"/>
            <w:vMerge w:val="restart"/>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LED</w:t>
            </w:r>
            <w:r>
              <w:rPr>
                <w:rFonts w:hint="eastAsia" w:ascii="宋体" w:hAnsi="宋体" w:cs="宋体"/>
                <w:sz w:val="21"/>
                <w:szCs w:val="21"/>
                <w:vertAlign w:val="baseline"/>
                <w:lang w:val="en-US" w:eastAsia="zh-CN"/>
              </w:rPr>
              <w:t>成套</w:t>
            </w:r>
            <w:r>
              <w:rPr>
                <w:rFonts w:hint="eastAsia" w:ascii="宋体" w:hAnsi="宋体" w:eastAsia="宋体" w:cs="宋体"/>
                <w:sz w:val="21"/>
                <w:szCs w:val="21"/>
                <w:vertAlign w:val="baseline"/>
                <w:lang w:val="en-US" w:eastAsia="zh-CN"/>
              </w:rPr>
              <w:t>灯具</w:t>
            </w:r>
          </w:p>
        </w:tc>
        <w:tc>
          <w:tcPr>
            <w:tcW w:w="1558" w:type="dxa"/>
            <w:tcBorders>
              <w:bottom w:val="nil"/>
              <w:right w:val="single" w:color="FFFFFF" w:sz="4" w:space="0"/>
            </w:tcBorders>
            <w:noWrap w:val="0"/>
            <w:vAlign w:val="center"/>
          </w:tcPr>
          <w:p>
            <w:pPr>
              <w:jc w:val="center"/>
              <w:rPr>
                <w:rFonts w:hint="default" w:ascii="宋体" w:hAnsi="宋体" w:cs="宋体"/>
                <w:sz w:val="21"/>
                <w:szCs w:val="21"/>
                <w:vertAlign w:val="baseline"/>
                <w:lang w:val="en-US" w:eastAsia="zh-CN"/>
              </w:rPr>
            </w:pPr>
            <w:r>
              <w:drawing>
                <wp:inline distT="0" distB="0" distL="114300" distR="114300">
                  <wp:extent cx="912495" cy="351155"/>
                  <wp:effectExtent l="0" t="0" r="190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912495" cy="351155"/>
                          </a:xfrm>
                          <a:prstGeom prst="rect">
                            <a:avLst/>
                          </a:prstGeom>
                          <a:noFill/>
                          <a:ln>
                            <a:noFill/>
                          </a:ln>
                        </pic:spPr>
                      </pic:pic>
                    </a:graphicData>
                  </a:graphic>
                </wp:inline>
              </w:drawing>
            </w:r>
          </w:p>
        </w:tc>
        <w:tc>
          <w:tcPr>
            <w:tcW w:w="1303" w:type="dxa"/>
            <w:tcBorders>
              <w:left w:val="single" w:color="FFFFFF" w:sz="4" w:space="0"/>
              <w:bottom w:val="nil"/>
              <w:right w:val="single" w:color="FFFFFF" w:sz="4" w:space="0"/>
            </w:tcBorders>
            <w:noWrap w:val="0"/>
            <w:vAlign w:val="center"/>
          </w:tcPr>
          <w:p>
            <w:pPr>
              <w:jc w:val="both"/>
            </w:pPr>
            <w:r>
              <w:drawing>
                <wp:inline distT="0" distB="0" distL="114300" distR="114300">
                  <wp:extent cx="810895" cy="340360"/>
                  <wp:effectExtent l="0" t="0" r="825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810895" cy="340360"/>
                          </a:xfrm>
                          <a:prstGeom prst="rect">
                            <a:avLst/>
                          </a:prstGeom>
                          <a:noFill/>
                          <a:ln>
                            <a:noFill/>
                          </a:ln>
                        </pic:spPr>
                      </pic:pic>
                    </a:graphicData>
                  </a:graphic>
                </wp:inline>
              </w:drawing>
            </w:r>
          </w:p>
        </w:tc>
        <w:tc>
          <w:tcPr>
            <w:tcW w:w="1457" w:type="dxa"/>
            <w:tcBorders>
              <w:left w:val="single" w:color="FFFFFF" w:sz="4" w:space="0"/>
              <w:bottom w:val="nil"/>
              <w:right w:val="single" w:color="FFFFFF" w:sz="4" w:space="0"/>
            </w:tcBorders>
            <w:noWrap w:val="0"/>
            <w:vAlign w:val="center"/>
          </w:tcPr>
          <w:p>
            <w:pPr>
              <w:jc w:val="center"/>
            </w:pPr>
            <w:r>
              <w:drawing>
                <wp:inline distT="0" distB="0" distL="114300" distR="114300">
                  <wp:extent cx="715645" cy="292100"/>
                  <wp:effectExtent l="0" t="0" r="825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715645" cy="292100"/>
                          </a:xfrm>
                          <a:prstGeom prst="rect">
                            <a:avLst/>
                          </a:prstGeom>
                          <a:noFill/>
                          <a:ln>
                            <a:noFill/>
                          </a:ln>
                        </pic:spPr>
                      </pic:pic>
                    </a:graphicData>
                  </a:graphic>
                </wp:inline>
              </w:drawing>
            </w:r>
          </w:p>
        </w:tc>
        <w:tc>
          <w:tcPr>
            <w:tcW w:w="1384" w:type="dxa"/>
            <w:tcBorders>
              <w:left w:val="single" w:color="FFFFFF" w:sz="4" w:space="0"/>
              <w:bottom w:val="nil"/>
              <w:right w:val="single" w:color="FFFFFF" w:sz="4" w:space="0"/>
            </w:tcBorders>
            <w:noWrap w:val="0"/>
            <w:vAlign w:val="center"/>
          </w:tcPr>
          <w:p>
            <w:pPr>
              <w:jc w:val="center"/>
            </w:pPr>
            <w:r>
              <w:drawing>
                <wp:inline distT="0" distB="0" distL="114300" distR="114300">
                  <wp:extent cx="758825" cy="305435"/>
                  <wp:effectExtent l="0" t="0" r="3175"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758825" cy="305435"/>
                          </a:xfrm>
                          <a:prstGeom prst="rect">
                            <a:avLst/>
                          </a:prstGeom>
                          <a:noFill/>
                          <a:ln>
                            <a:noFill/>
                          </a:ln>
                        </pic:spPr>
                      </pic:pic>
                    </a:graphicData>
                  </a:graphic>
                </wp:inline>
              </w:drawing>
            </w:r>
          </w:p>
        </w:tc>
        <w:tc>
          <w:tcPr>
            <w:tcW w:w="1237" w:type="dxa"/>
            <w:tcBorders>
              <w:left w:val="single" w:color="FFFFFF" w:sz="4" w:space="0"/>
              <w:bottom w:val="nil"/>
            </w:tcBorders>
            <w:noWrap w:val="0"/>
            <w:vAlign w:val="center"/>
          </w:tcPr>
          <w:p>
            <w:pPr>
              <w:jc w:val="center"/>
            </w:pPr>
            <w:r>
              <w:drawing>
                <wp:inline distT="0" distB="0" distL="114300" distR="114300">
                  <wp:extent cx="648335" cy="157480"/>
                  <wp:effectExtent l="0" t="0" r="18415" b="139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648335" cy="15748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542" w:type="dxa"/>
            <w:vMerge w:val="continue"/>
            <w:noWrap w:val="0"/>
            <w:vAlign w:val="center"/>
          </w:tcPr>
          <w:p>
            <w:pPr>
              <w:jc w:val="center"/>
            </w:pPr>
          </w:p>
        </w:tc>
        <w:tc>
          <w:tcPr>
            <w:tcW w:w="1041" w:type="dxa"/>
            <w:vMerge w:val="continue"/>
            <w:noWrap w:val="0"/>
            <w:vAlign w:val="center"/>
          </w:tcPr>
          <w:p>
            <w:pPr>
              <w:jc w:val="center"/>
            </w:pPr>
          </w:p>
        </w:tc>
        <w:tc>
          <w:tcPr>
            <w:tcW w:w="1558" w:type="dxa"/>
            <w:tcBorders>
              <w:top w:val="nil"/>
              <w:right w:val="single" w:color="FFFFFF" w:sz="4" w:space="0"/>
            </w:tcBorders>
            <w:noWrap w:val="0"/>
            <w:vAlign w:val="center"/>
          </w:tcPr>
          <w:p>
            <w:pPr>
              <w:jc w:val="center"/>
              <w:rPr>
                <w:rFonts w:hint="default" w:eastAsia="宋体"/>
                <w:b/>
                <w:bCs/>
                <w:lang w:val="en-US" w:eastAsia="zh-CN"/>
              </w:rPr>
            </w:pPr>
            <w:r>
              <w:rPr>
                <w:rFonts w:hint="eastAsia"/>
                <w:b/>
                <w:bCs/>
                <w:lang w:val="en-US" w:eastAsia="zh-CN"/>
              </w:rPr>
              <w:t>上海大峡谷</w:t>
            </w:r>
          </w:p>
        </w:tc>
        <w:tc>
          <w:tcPr>
            <w:tcW w:w="1303" w:type="dxa"/>
            <w:tcBorders>
              <w:top w:val="nil"/>
              <w:left w:val="single" w:color="FFFFFF" w:sz="4" w:space="0"/>
              <w:right w:val="single" w:color="FFFFFF" w:sz="4" w:space="0"/>
            </w:tcBorders>
            <w:noWrap w:val="0"/>
            <w:vAlign w:val="center"/>
          </w:tcPr>
          <w:p>
            <w:pPr>
              <w:jc w:val="center"/>
              <w:rPr>
                <w:rFonts w:hint="default" w:eastAsia="宋体"/>
                <w:b/>
                <w:bCs/>
                <w:lang w:val="en-US" w:eastAsia="zh-CN"/>
              </w:rPr>
            </w:pPr>
            <w:r>
              <w:rPr>
                <w:rFonts w:hint="eastAsia"/>
                <w:b/>
                <w:bCs/>
                <w:lang w:val="en-US" w:eastAsia="zh-CN"/>
              </w:rPr>
              <w:t>上海乐雷</w:t>
            </w:r>
          </w:p>
        </w:tc>
        <w:tc>
          <w:tcPr>
            <w:tcW w:w="1457" w:type="dxa"/>
            <w:tcBorders>
              <w:top w:val="nil"/>
              <w:left w:val="single" w:color="FFFFFF" w:sz="4" w:space="0"/>
              <w:right w:val="single" w:color="FFFFFF" w:sz="4" w:space="0"/>
            </w:tcBorders>
            <w:noWrap w:val="0"/>
            <w:vAlign w:val="center"/>
          </w:tcPr>
          <w:p>
            <w:pPr>
              <w:jc w:val="center"/>
              <w:rPr>
                <w:rFonts w:hint="default" w:eastAsia="宋体"/>
                <w:b/>
                <w:bCs/>
                <w:lang w:val="en-US" w:eastAsia="zh-CN"/>
              </w:rPr>
            </w:pPr>
            <w:r>
              <w:rPr>
                <w:rFonts w:hint="eastAsia"/>
                <w:b/>
                <w:bCs/>
                <w:lang w:val="en-US" w:eastAsia="zh-CN"/>
              </w:rPr>
              <w:t>广州亮美集</w:t>
            </w:r>
          </w:p>
        </w:tc>
        <w:tc>
          <w:tcPr>
            <w:tcW w:w="1384" w:type="dxa"/>
            <w:tcBorders>
              <w:top w:val="nil"/>
              <w:left w:val="single" w:color="FFFFFF" w:sz="4" w:space="0"/>
              <w:right w:val="single" w:color="FFFFFF" w:sz="4" w:space="0"/>
            </w:tcBorders>
            <w:noWrap w:val="0"/>
            <w:vAlign w:val="center"/>
          </w:tcPr>
          <w:p>
            <w:pPr>
              <w:jc w:val="center"/>
              <w:rPr>
                <w:rFonts w:hint="default" w:eastAsia="宋体"/>
                <w:b/>
                <w:bCs/>
                <w:lang w:val="en-US" w:eastAsia="zh-CN"/>
              </w:rPr>
            </w:pPr>
            <w:r>
              <w:rPr>
                <w:rFonts w:hint="eastAsia"/>
                <w:b/>
                <w:bCs/>
                <w:lang w:val="en-US" w:eastAsia="zh-CN"/>
              </w:rPr>
              <w:t>江苏品正</w:t>
            </w:r>
          </w:p>
        </w:tc>
        <w:tc>
          <w:tcPr>
            <w:tcW w:w="1237" w:type="dxa"/>
            <w:tcBorders>
              <w:top w:val="nil"/>
              <w:left w:val="single" w:color="FFFFFF" w:sz="4" w:space="0"/>
            </w:tcBorders>
            <w:noWrap w:val="0"/>
            <w:vAlign w:val="center"/>
          </w:tcPr>
          <w:p>
            <w:pPr>
              <w:jc w:val="center"/>
              <w:rPr>
                <w:rFonts w:hint="default" w:eastAsia="宋体"/>
                <w:b/>
                <w:bCs/>
                <w:lang w:val="en-US" w:eastAsia="zh-CN"/>
              </w:rPr>
            </w:pPr>
            <w:r>
              <w:rPr>
                <w:rFonts w:hint="eastAsia"/>
                <w:b/>
                <w:bCs/>
                <w:lang w:val="en-US" w:eastAsia="zh-CN"/>
              </w:rPr>
              <w:t>深圳爱克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42" w:type="dxa"/>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3</w:t>
            </w:r>
          </w:p>
        </w:tc>
        <w:tc>
          <w:tcPr>
            <w:tcW w:w="1041" w:type="dxa"/>
            <w:noWrap w:val="0"/>
            <w:vAlign w:val="center"/>
          </w:tcPr>
          <w:p>
            <w:pPr>
              <w:jc w:val="center"/>
              <w:rPr>
                <w:rFonts w:hint="default"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LED配套电源</w:t>
            </w:r>
          </w:p>
        </w:tc>
        <w:tc>
          <w:tcPr>
            <w:tcW w:w="6939" w:type="dxa"/>
            <w:gridSpan w:val="5"/>
            <w:noWrap w:val="0"/>
            <w:vAlign w:val="center"/>
          </w:tcPr>
          <w:p>
            <w:pPr>
              <w:jc w:val="center"/>
              <w:rPr>
                <w:rFonts w:hint="eastAsia" w:ascii="宋体" w:hAnsi="宋体" w:cs="宋体"/>
                <w:sz w:val="21"/>
                <w:szCs w:val="21"/>
                <w:vertAlign w:val="baseline"/>
                <w:lang w:val="en-US" w:eastAsia="zh-CN"/>
              </w:rPr>
            </w:pPr>
            <w:r>
              <w:rPr>
                <w:rFonts w:hint="eastAsia" w:ascii="宋体" w:hAnsi="宋体" w:cs="宋体"/>
                <w:kern w:val="2"/>
                <w:sz w:val="21"/>
                <w:szCs w:val="21"/>
                <w:vertAlign w:val="baseline"/>
                <w:lang w:val="en-US" w:eastAsia="zh-CN" w:bidi="ar-SA"/>
              </w:rPr>
              <w:t>台湾</w:t>
            </w:r>
            <w:r>
              <w:rPr>
                <w:rFonts w:hint="eastAsia" w:ascii="宋体" w:hAnsi="宋体" w:eastAsia="宋体" w:cs="宋体"/>
                <w:kern w:val="2"/>
                <w:sz w:val="21"/>
                <w:szCs w:val="21"/>
                <w:vertAlign w:val="baseline"/>
                <w:lang w:val="en-US" w:eastAsia="zh-CN" w:bidi="ar-SA"/>
              </w:rPr>
              <w:t>明緯</w:t>
            </w:r>
            <w:r>
              <w:rPr>
                <w:rFonts w:hint="eastAsia" w:ascii="宋体" w:hAnsi="宋体" w:cs="宋体"/>
                <w:kern w:val="2"/>
                <w:sz w:val="21"/>
                <w:szCs w:val="21"/>
                <w:vertAlign w:val="baseline"/>
                <w:lang w:val="en-US" w:eastAsia="zh-CN" w:bidi="ar-SA"/>
              </w:rPr>
              <w:t>、深圳</w:t>
            </w:r>
            <w:r>
              <w:rPr>
                <w:rFonts w:hint="default" w:ascii="宋体" w:hAnsi="宋体" w:eastAsia="宋体" w:cs="宋体"/>
                <w:kern w:val="2"/>
                <w:sz w:val="21"/>
                <w:szCs w:val="21"/>
                <w:vertAlign w:val="baseline"/>
                <w:lang w:val="en-US" w:eastAsia="zh-CN" w:bidi="ar-SA"/>
              </w:rPr>
              <w:t>茂硕</w:t>
            </w:r>
            <w:r>
              <w:rPr>
                <w:rFonts w:hint="eastAsia" w:ascii="宋体" w:hAnsi="宋体" w:cs="宋体"/>
                <w:kern w:val="2"/>
                <w:sz w:val="21"/>
                <w:szCs w:val="21"/>
                <w:vertAlign w:val="baseline"/>
                <w:lang w:val="en-US" w:eastAsia="zh-CN" w:bidi="ar-SA"/>
              </w:rPr>
              <w:t>、常州</w:t>
            </w:r>
            <w:r>
              <w:rPr>
                <w:rFonts w:hint="eastAsia" w:ascii="宋体" w:hAnsi="宋体" w:cs="宋体"/>
                <w:sz w:val="21"/>
                <w:szCs w:val="21"/>
                <w:vertAlign w:val="baseline"/>
                <w:lang w:val="en-US" w:eastAsia="zh-CN"/>
              </w:rPr>
              <w:t>诚联、上海衡孚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42" w:type="dxa"/>
            <w:noWrap w:val="0"/>
            <w:vAlign w:val="center"/>
          </w:tcPr>
          <w:p>
            <w:pPr>
              <w:jc w:val="center"/>
              <w:rPr>
                <w:rFonts w:hint="default"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w:t>
            </w:r>
          </w:p>
        </w:tc>
        <w:tc>
          <w:tcPr>
            <w:tcW w:w="1041" w:type="dxa"/>
            <w:noWrap w:val="0"/>
            <w:vAlign w:val="center"/>
          </w:tcPr>
          <w:p>
            <w:pPr>
              <w:jc w:val="center"/>
              <w:rPr>
                <w:rFonts w:hint="default" w:ascii="宋体" w:hAnsi="宋体" w:eastAsia="宋体" w:cs="宋体"/>
                <w:kern w:val="2"/>
                <w:sz w:val="21"/>
                <w:szCs w:val="21"/>
                <w:vertAlign w:val="baseline"/>
                <w:lang w:val="en-US" w:eastAsia="zh-CN" w:bidi="ar-SA"/>
              </w:rPr>
            </w:pPr>
            <w:r>
              <w:rPr>
                <w:rFonts w:hint="default" w:ascii="宋体" w:hAnsi="宋体" w:eastAsia="宋体" w:cs="宋体"/>
                <w:kern w:val="2"/>
                <w:sz w:val="21"/>
                <w:szCs w:val="21"/>
                <w:vertAlign w:val="baseline"/>
                <w:lang w:val="en-US" w:eastAsia="zh-CN" w:bidi="ar-SA"/>
              </w:rPr>
              <w:t>断路器</w:t>
            </w:r>
          </w:p>
        </w:tc>
        <w:tc>
          <w:tcPr>
            <w:tcW w:w="6939" w:type="dxa"/>
            <w:gridSpan w:val="5"/>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常熟开关、无锡韩光、上海人民、ABB、德力西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2" w:type="dxa"/>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5</w:t>
            </w:r>
          </w:p>
        </w:tc>
        <w:tc>
          <w:tcPr>
            <w:tcW w:w="1041" w:type="dxa"/>
            <w:noWrap w:val="0"/>
            <w:vAlign w:val="center"/>
          </w:tcPr>
          <w:p>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电线电缆</w:t>
            </w:r>
          </w:p>
        </w:tc>
        <w:tc>
          <w:tcPr>
            <w:tcW w:w="6939" w:type="dxa"/>
            <w:gridSpan w:val="5"/>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绿宝、上上、远东、江南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542" w:type="dxa"/>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6</w:t>
            </w:r>
          </w:p>
        </w:tc>
        <w:tc>
          <w:tcPr>
            <w:tcW w:w="1041" w:type="dxa"/>
            <w:noWrap w:val="0"/>
            <w:vAlign w:val="center"/>
          </w:tcPr>
          <w:p>
            <w:pPr>
              <w:jc w:val="center"/>
              <w:rPr>
                <w:rFonts w:hint="default"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管材</w:t>
            </w:r>
          </w:p>
        </w:tc>
        <w:tc>
          <w:tcPr>
            <w:tcW w:w="6939" w:type="dxa"/>
            <w:gridSpan w:val="5"/>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安徽双玖、合肥安诺、芜湖华亚、中财、联塑、伟星</w:t>
            </w:r>
          </w:p>
        </w:tc>
      </w:tr>
    </w:tbl>
    <w:p>
      <w:pPr>
        <w:jc w:val="left"/>
        <w:rPr>
          <w:rFonts w:hint="eastAsia" w:ascii="宋体" w:hAnsi="宋体" w:eastAsia="宋体" w:cs="宋体"/>
          <w:b/>
          <w:bCs/>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leftChars="0" w:right="125" w:rightChars="52" w:firstLine="480" w:firstLineChars="200"/>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对于招标人推荐品牌的材料、设备，投标人可选用推荐品牌或不得低于推荐品牌技术性能指标的其他品牌。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125" w:rightChars="52"/>
        <w:textAlignment w:val="auto"/>
        <w:rPr>
          <w:rFonts w:hint="eastAsia"/>
          <w:lang w:val="en-US" w:eastAsia="zh-CN"/>
        </w:rPr>
      </w:pPr>
      <w:r>
        <w:rPr>
          <w:rFonts w:hint="eastAsia" w:ascii="宋体" w:hAnsi="宋体" w:cs="宋体"/>
          <w:b/>
          <w:bCs/>
          <w:sz w:val="24"/>
          <w:szCs w:val="24"/>
          <w:lang w:val="en-US" w:eastAsia="zh-CN"/>
        </w:rPr>
        <w:t>4、特别提醒：投标人应标时不得选择“虚假品牌”或者“以次充好”产品进行投标报价，中标后必须按照“</w:t>
      </w:r>
      <w:r>
        <w:rPr>
          <w:rFonts w:hint="eastAsia" w:ascii="宋体" w:hAnsi="宋体" w:cs="宋体"/>
          <w:b/>
          <w:bCs/>
          <w:sz w:val="24"/>
          <w:szCs w:val="24"/>
          <w:u w:val="single"/>
          <w:lang w:val="en-US" w:eastAsia="zh-CN"/>
        </w:rPr>
        <w:t>产品品牌”所对应“生产厂家”</w:t>
      </w:r>
      <w:r>
        <w:rPr>
          <w:rFonts w:hint="eastAsia" w:ascii="宋体" w:hAnsi="宋体" w:cs="宋体"/>
          <w:b/>
          <w:bCs/>
          <w:sz w:val="24"/>
          <w:szCs w:val="24"/>
          <w:u w:val="none"/>
          <w:lang w:val="en-US" w:eastAsia="zh-CN"/>
        </w:rPr>
        <w:t>进行</w:t>
      </w:r>
      <w:r>
        <w:rPr>
          <w:rFonts w:hint="eastAsia" w:ascii="宋体" w:hAnsi="宋体" w:cs="宋体"/>
          <w:b/>
          <w:bCs/>
          <w:sz w:val="24"/>
          <w:szCs w:val="24"/>
          <w:lang w:val="en-US" w:eastAsia="zh-CN"/>
        </w:rPr>
        <w:t>供货，否则中标后招标人发现贴牌等类似情况，按违约处理。并且拆除灯具设备要求中标人无条件更换并且追究其违约及法律责任。</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.1、投标截止时间和开标时间为202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14点00分</w:t>
      </w:r>
      <w:r>
        <w:rPr>
          <w:rFonts w:hint="eastAsia" w:ascii="宋体" w:hAnsi="宋体" w:eastAsia="宋体" w:cs="宋体"/>
          <w:color w:val="auto"/>
          <w:sz w:val="24"/>
          <w:szCs w:val="24"/>
          <w:lang w:eastAsia="zh-CN"/>
        </w:rPr>
        <w:t>，安徽津腾建设工程有限公司三楼</w:t>
      </w:r>
      <w:r>
        <w:rPr>
          <w:rFonts w:hint="eastAsia" w:ascii="宋体" w:hAnsi="宋体" w:eastAsia="宋体" w:cs="宋体"/>
          <w:color w:val="auto"/>
          <w:sz w:val="24"/>
          <w:szCs w:val="24"/>
          <w:lang w:val="en-US" w:eastAsia="zh-CN"/>
        </w:rPr>
        <w:t>成本部陆先生</w:t>
      </w:r>
      <w:r>
        <w:rPr>
          <w:rFonts w:hint="eastAsia" w:ascii="宋体" w:hAnsi="宋体" w:eastAsia="宋体" w:cs="宋体"/>
          <w:color w:val="auto"/>
          <w:sz w:val="24"/>
          <w:szCs w:val="24"/>
          <w:lang w:eastAsia="zh-CN"/>
        </w:rPr>
        <w:t>收。</w:t>
      </w: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.2</w:t>
      </w:r>
      <w:r>
        <w:rPr>
          <w:rStyle w:val="142"/>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逾期送达的或者未送达指定地点的投标文件，招标人不予受理。</w:t>
      </w:r>
      <w:bookmarkStart w:id="15" w:name="_Toc152045525"/>
      <w:bookmarkEnd w:id="15"/>
      <w:bookmarkStart w:id="16" w:name="_Toc246996915"/>
      <w:bookmarkEnd w:id="16"/>
      <w:bookmarkStart w:id="17" w:name="_Toc152042301"/>
      <w:bookmarkEnd w:id="17"/>
      <w:bookmarkStart w:id="18" w:name="_Toc179632542"/>
      <w:bookmarkEnd w:id="18"/>
      <w:bookmarkStart w:id="19" w:name="_Toc247085686"/>
      <w:bookmarkEnd w:id="19"/>
      <w:bookmarkStart w:id="20" w:name="_Toc246996172"/>
      <w:bookmarkEnd w:id="20"/>
      <w:bookmarkStart w:id="21" w:name="_Toc296602416"/>
      <w:bookmarkEnd w:id="2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、联系方式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6.1、发包人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安徽津腾建设工程有限公司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w:t>
      </w:r>
      <w:r>
        <w:rPr>
          <w:rFonts w:hint="eastAsia" w:ascii="宋体" w:hAnsi="宋体" w:eastAsia="宋体" w:cs="宋体"/>
          <w:color w:val="auto"/>
          <w:sz w:val="24"/>
          <w:szCs w:val="24"/>
        </w:rPr>
        <w:t>地址:</w:t>
      </w:r>
      <w:r>
        <w:rPr>
          <w:rStyle w:val="142"/>
          <w:rFonts w:hint="eastAsia" w:ascii="宋体" w:hAnsi="宋体" w:eastAsia="宋体" w:cs="宋体"/>
          <w:color w:val="auto"/>
          <w:sz w:val="24"/>
          <w:szCs w:val="24"/>
        </w:rPr>
        <w:t> </w:t>
      </w:r>
      <w:r>
        <w:rPr>
          <w:rStyle w:val="142"/>
          <w:rFonts w:hint="eastAsia" w:ascii="宋体" w:hAnsi="宋体" w:eastAsia="宋体" w:cs="宋体"/>
          <w:color w:val="auto"/>
          <w:sz w:val="24"/>
          <w:szCs w:val="24"/>
          <w:lang w:val="en-US" w:eastAsia="zh-CN"/>
        </w:rPr>
        <w:t>安徽省宣城市</w:t>
      </w:r>
      <w:r>
        <w:rPr>
          <w:rFonts w:hint="eastAsia" w:ascii="宋体" w:hAnsi="宋体" w:eastAsia="宋体" w:cs="宋体"/>
          <w:color w:val="auto"/>
          <w:sz w:val="24"/>
          <w:szCs w:val="24"/>
          <w:lang w:eastAsia="zh-CN"/>
        </w:rPr>
        <w:t>宁国市</w:t>
      </w:r>
      <w:r>
        <w:rPr>
          <w:rFonts w:hint="eastAsia" w:ascii="宋体" w:hAnsi="宋体" w:eastAsia="宋体" w:cs="宋体"/>
          <w:color w:val="auto"/>
          <w:sz w:val="24"/>
          <w:szCs w:val="24"/>
          <w:lang w:val="en-US" w:eastAsia="zh-CN"/>
        </w:rPr>
        <w:t>青华路与仙霞路交口</w:t>
      </w:r>
      <w:r>
        <w:rPr>
          <w:rFonts w:hint="eastAsia" w:ascii="宋体" w:hAnsi="宋体" w:eastAsia="宋体" w:cs="宋体"/>
          <w:color w:val="auto"/>
          <w:sz w:val="24"/>
          <w:szCs w:val="24"/>
          <w:lang w:eastAsia="zh-CN"/>
        </w:rPr>
        <w:t>汇金广场</w:t>
      </w:r>
      <w:r>
        <w:rPr>
          <w:rFonts w:hint="eastAsia" w:ascii="宋体" w:hAnsi="宋体" w:eastAsia="宋体" w:cs="宋体"/>
          <w:color w:val="auto"/>
          <w:sz w:val="24"/>
          <w:szCs w:val="24"/>
          <w:lang w:val="en-US" w:eastAsia="zh-CN"/>
        </w:rPr>
        <w:t>津腾建设三楼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6.3、</w:t>
      </w:r>
      <w:r>
        <w:rPr>
          <w:rFonts w:hint="eastAsia" w:ascii="宋体" w:hAnsi="宋体" w:eastAsia="宋体" w:cs="宋体"/>
          <w:color w:val="auto"/>
          <w:sz w:val="24"/>
          <w:szCs w:val="24"/>
        </w:rPr>
        <w:t>邮编：242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6.4、</w:t>
      </w: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周 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6.5、</w:t>
      </w:r>
      <w:r>
        <w:rPr>
          <w:rFonts w:hint="eastAsia" w:ascii="宋体" w:hAnsi="宋体" w:eastAsia="宋体" w:cs="宋体"/>
          <w:color w:val="auto"/>
          <w:sz w:val="24"/>
          <w:szCs w:val="24"/>
        </w:rPr>
        <w:t>电话</w:t>
      </w:r>
      <w:bookmarkEnd w:id="8"/>
      <w:bookmarkEnd w:id="9"/>
      <w:bookmarkEnd w:id="10"/>
      <w:bookmarkEnd w:id="11"/>
      <w:bookmarkEnd w:id="12"/>
      <w:bookmarkEnd w:id="13"/>
      <w:bookmarkEnd w:id="1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0563-4750019  18856395705</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7、投标报名及招标文件的获取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7.1、招标文件及相关附件请自行登录安徽津腾建设工程有限公司网站</w:t>
      </w:r>
      <w:r>
        <w:rPr>
          <w:rFonts w:hint="eastAsia" w:ascii="宋体" w:hAnsi="宋体" w:eastAsia="宋体" w:cs="宋体"/>
          <w:color w:val="auto"/>
          <w:sz w:val="24"/>
          <w:szCs w:val="24"/>
          <w:u w:val="single"/>
          <w:lang w:val="en-US" w:eastAsia="zh-CN"/>
        </w:rPr>
        <w:t>zbzx.</w:t>
      </w: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 HYPERLINK "http://zbzx.anhuijtjs.com/" </w:instrText>
      </w:r>
      <w:r>
        <w:rPr>
          <w:rFonts w:hint="eastAsia" w:ascii="宋体" w:hAnsi="宋体" w:eastAsia="宋体" w:cs="宋体"/>
          <w:color w:val="auto"/>
          <w:sz w:val="24"/>
          <w:szCs w:val="24"/>
          <w:u w:val="single"/>
        </w:rPr>
        <w:fldChar w:fldCharType="separate"/>
      </w:r>
      <w:r>
        <w:rPr>
          <w:rStyle w:val="55"/>
          <w:rFonts w:hint="eastAsia" w:ascii="宋体" w:hAnsi="宋体" w:eastAsia="宋体" w:cs="宋体"/>
          <w:color w:val="auto"/>
          <w:sz w:val="24"/>
          <w:szCs w:val="24"/>
          <w:u w:val="single"/>
        </w:rPr>
        <w:t>anhuijtjs.com</w:t>
      </w:r>
      <w:r>
        <w:rPr>
          <w:rFonts w:hint="eastAsia" w:ascii="宋体" w:hAnsi="宋体" w:eastAsia="宋体" w:cs="宋体"/>
          <w:color w:val="auto"/>
          <w:sz w:val="24"/>
          <w:szCs w:val="24"/>
          <w:u w:val="single"/>
        </w:rPr>
        <w:fldChar w:fldCharType="end"/>
      </w:r>
      <w:r>
        <w:rPr>
          <w:rFonts w:hint="eastAsia" w:ascii="宋体" w:hAnsi="宋体" w:eastAsia="宋体" w:cs="宋体"/>
          <w:color w:val="000000"/>
          <w:sz w:val="24"/>
          <w:szCs w:val="24"/>
          <w:lang w:val="en-US" w:eastAsia="zh-CN"/>
        </w:rPr>
        <w:t>自行下载</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kern w:val="0"/>
          <w:sz w:val="24"/>
          <w:szCs w:val="24"/>
          <w:lang w:val="en-US" w:eastAsia="zh-CN" w:bidi="ar-SA"/>
        </w:rPr>
        <w:t>7.2、</w:t>
      </w:r>
      <w:r>
        <w:rPr>
          <w:rFonts w:hint="eastAsia" w:ascii="宋体" w:hAnsi="宋体" w:eastAsia="宋体" w:cs="宋体"/>
          <w:b w:val="0"/>
          <w:bCs w:val="0"/>
          <w:color w:val="auto"/>
          <w:sz w:val="24"/>
          <w:szCs w:val="24"/>
          <w:lang w:val="en-US" w:eastAsia="zh-CN"/>
        </w:rPr>
        <w:t xml:space="preserve">图纸提取网址链接：https://pan.baidu.com/s/1Y-ITkmlolfecj4AIwY_B6w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提取码：0bta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安徽津腾建设工程有限公司</w:t>
      </w:r>
    </w:p>
    <w:p>
      <w:pPr>
        <w:ind w:firstLine="5280" w:firstLineChars="2200"/>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2024年03月21日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黑体" w:hAnsi="黑体" w:eastAsia="黑体" w:cs="黑体"/>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sz w:val="44"/>
          <w:szCs w:val="44"/>
        </w:rPr>
      </w:pPr>
      <w:r>
        <w:rPr>
          <w:rFonts w:hint="eastAsia" w:ascii="黑体" w:hAnsi="黑体" w:eastAsia="黑体" w:cs="黑体"/>
          <w:b/>
          <w:bCs/>
          <w:color w:val="auto"/>
          <w:sz w:val="44"/>
          <w:szCs w:val="44"/>
        </w:rPr>
        <w:t>第二章 投标人须知</w:t>
      </w:r>
    </w:p>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投标人须知前附表</w:t>
      </w:r>
    </w:p>
    <w:tbl>
      <w:tblPr>
        <w:tblStyle w:val="44"/>
        <w:tblW w:w="8310" w:type="dxa"/>
        <w:tblInd w:w="254" w:type="dxa"/>
        <w:tblLayout w:type="fixed"/>
        <w:tblCellMar>
          <w:top w:w="0" w:type="dxa"/>
          <w:left w:w="108" w:type="dxa"/>
          <w:bottom w:w="0" w:type="dxa"/>
          <w:right w:w="108" w:type="dxa"/>
        </w:tblCellMar>
      </w:tblPr>
      <w:tblGrid>
        <w:gridCol w:w="762"/>
        <w:gridCol w:w="2475"/>
        <w:gridCol w:w="398"/>
        <w:gridCol w:w="4675"/>
      </w:tblGrid>
      <w:tr>
        <w:tblPrEx>
          <w:tblCellMar>
            <w:top w:w="0" w:type="dxa"/>
            <w:left w:w="108" w:type="dxa"/>
            <w:bottom w:w="0" w:type="dxa"/>
            <w:right w:w="108" w:type="dxa"/>
          </w:tblCellMar>
        </w:tblPrEx>
        <w:trPr>
          <w:trHeight w:val="52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条  款  名  称</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编  列  内  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踏勘现场</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sym w:font="Wingdings 2" w:char="0052"/>
            </w:r>
            <w:r>
              <w:rPr>
                <w:rFonts w:hint="eastAsia" w:ascii="宋体" w:hAnsi="宋体" w:eastAsia="宋体" w:cs="宋体"/>
                <w:color w:val="auto"/>
                <w:sz w:val="24"/>
                <w:szCs w:val="24"/>
              </w:rPr>
              <w:t>不组织</w:t>
            </w:r>
          </w:p>
          <w:p>
            <w:pPr>
              <w:keepNext w:val="0"/>
              <w:keepLines w:val="0"/>
              <w:pageBreakBefore w:val="0"/>
              <w:widowControl w:val="0"/>
              <w:kinsoku/>
              <w:wordWrap/>
              <w:overflowPunct/>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□组织，踏勘时间：</w:t>
            </w:r>
          </w:p>
          <w:p>
            <w:pPr>
              <w:keepNext w:val="0"/>
              <w:keepLines w:val="0"/>
              <w:pageBreakBefore w:val="0"/>
              <w:widowControl w:val="0"/>
              <w:kinsoku/>
              <w:wordWrap/>
              <w:overflowPunct/>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踏勘集中地点：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投标预备会</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不召开</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□召开，召开时间：</w:t>
            </w:r>
          </w:p>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召开地点：</w:t>
            </w:r>
          </w:p>
        </w:tc>
      </w:tr>
      <w:tr>
        <w:tblPrEx>
          <w:tblCellMar>
            <w:top w:w="0" w:type="dxa"/>
            <w:left w:w="108" w:type="dxa"/>
            <w:bottom w:w="0" w:type="dxa"/>
            <w:right w:w="108" w:type="dxa"/>
          </w:tblCellMar>
        </w:tblPrEx>
        <w:trPr>
          <w:trHeight w:val="99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不允许</w:t>
            </w:r>
          </w:p>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□允许</w:t>
            </w:r>
          </w:p>
        </w:tc>
      </w:tr>
      <w:tr>
        <w:tblPrEx>
          <w:tblCellMar>
            <w:top w:w="0" w:type="dxa"/>
            <w:left w:w="108" w:type="dxa"/>
            <w:bottom w:w="0" w:type="dxa"/>
            <w:right w:w="108" w:type="dxa"/>
          </w:tblCellMar>
        </w:tblPrEx>
        <w:trPr>
          <w:trHeight w:val="58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构成招标文件的其他材料</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招标补遗及答疑</w:t>
            </w:r>
          </w:p>
        </w:tc>
      </w:tr>
      <w:tr>
        <w:tblPrEx>
          <w:tblCellMar>
            <w:top w:w="0" w:type="dxa"/>
            <w:left w:w="108" w:type="dxa"/>
            <w:bottom w:w="0" w:type="dxa"/>
            <w:right w:w="108" w:type="dxa"/>
          </w:tblCellMar>
        </w:tblPrEx>
        <w:trPr>
          <w:trHeight w:val="56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03</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14</w:t>
            </w:r>
            <w:bookmarkStart w:id="38" w:name="_GoBack"/>
            <w:bookmarkEnd w:id="38"/>
            <w:r>
              <w:rPr>
                <w:rFonts w:hint="eastAsia" w:ascii="宋体" w:hAnsi="宋体" w:eastAsia="宋体" w:cs="宋体"/>
                <w:color w:val="auto"/>
                <w:sz w:val="24"/>
                <w:szCs w:val="24"/>
                <w:lang w:eastAsia="zh-CN"/>
              </w:rPr>
              <w:t>点</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lang w:eastAsia="zh-CN"/>
              </w:rPr>
              <w:t>分</w:t>
            </w:r>
          </w:p>
        </w:tc>
      </w:tr>
      <w:tr>
        <w:tblPrEx>
          <w:tblCellMar>
            <w:top w:w="0" w:type="dxa"/>
            <w:left w:w="108" w:type="dxa"/>
            <w:bottom w:w="0" w:type="dxa"/>
            <w:right w:w="108" w:type="dxa"/>
          </w:tblCellMar>
        </w:tblPrEx>
        <w:trPr>
          <w:trHeight w:val="76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构成投标文件的其他材料</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投标人认为需提供的其他材料</w:t>
            </w:r>
          </w:p>
        </w:tc>
      </w:tr>
      <w:tr>
        <w:tblPrEx>
          <w:tblCellMar>
            <w:top w:w="0" w:type="dxa"/>
            <w:left w:w="108" w:type="dxa"/>
            <w:bottom w:w="0" w:type="dxa"/>
            <w:right w:w="108" w:type="dxa"/>
          </w:tblCellMar>
        </w:tblPrEx>
        <w:trPr>
          <w:trHeight w:val="54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b/>
                <w:color w:val="auto"/>
                <w:sz w:val="24"/>
                <w:szCs w:val="24"/>
                <w:u w:val="none"/>
                <w:lang w:val="en-US" w:eastAsia="zh-CN"/>
              </w:rPr>
            </w:pPr>
            <w:r>
              <w:rPr>
                <w:rFonts w:hint="eastAsia" w:ascii="宋体" w:hAnsi="宋体" w:eastAsia="宋体" w:cs="宋体"/>
                <w:b/>
                <w:bCs w:val="0"/>
                <w:color w:val="auto"/>
                <w:sz w:val="24"/>
                <w:szCs w:val="24"/>
                <w:u w:val="none"/>
                <w:lang w:val="en-US" w:eastAsia="zh-CN"/>
              </w:rPr>
              <w:t>报价折扣率区间</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u w:val="none"/>
                <w:lang w:val="en-US" w:eastAsia="zh-CN"/>
              </w:rPr>
            </w:pPr>
            <w:r>
              <w:rPr>
                <w:rFonts w:hint="eastAsia" w:ascii="宋体" w:hAnsi="宋体" w:cs="宋体"/>
                <w:b/>
                <w:bCs/>
                <w:i w:val="0"/>
                <w:iCs w:val="0"/>
                <w:color w:val="000000"/>
                <w:kern w:val="0"/>
                <w:sz w:val="24"/>
                <w:szCs w:val="24"/>
                <w:highlight w:val="none"/>
                <w:u w:val="none"/>
                <w:lang w:val="en-US" w:eastAsia="zh-CN" w:bidi="ar"/>
              </w:rPr>
              <w:t>65</w:t>
            </w:r>
            <w:r>
              <w:rPr>
                <w:rFonts w:hint="eastAsia" w:ascii="宋体" w:hAnsi="宋体" w:eastAsia="宋体" w:cs="宋体"/>
                <w:b/>
                <w:bCs/>
                <w:i w:val="0"/>
                <w:iCs w:val="0"/>
                <w:color w:val="000000"/>
                <w:kern w:val="0"/>
                <w:sz w:val="24"/>
                <w:szCs w:val="24"/>
                <w:highlight w:val="none"/>
                <w:u w:val="none"/>
                <w:lang w:val="en-US" w:eastAsia="zh-CN" w:bidi="ar"/>
              </w:rPr>
              <w:t>%-7</w:t>
            </w:r>
            <w:r>
              <w:rPr>
                <w:rFonts w:hint="eastAsia" w:ascii="宋体" w:hAnsi="宋体" w:cs="宋体"/>
                <w:b/>
                <w:bCs/>
                <w:i w:val="0"/>
                <w:iCs w:val="0"/>
                <w:color w:val="000000"/>
                <w:kern w:val="0"/>
                <w:sz w:val="24"/>
                <w:szCs w:val="24"/>
                <w:highlight w:val="none"/>
                <w:u w:val="none"/>
                <w:lang w:val="en-US" w:eastAsia="zh-CN" w:bidi="ar"/>
              </w:rPr>
              <w:t>2</w:t>
            </w:r>
            <w:r>
              <w:rPr>
                <w:rFonts w:hint="eastAsia" w:ascii="宋体" w:hAnsi="宋体" w:eastAsia="宋体" w:cs="宋体"/>
                <w:b/>
                <w:bCs/>
                <w:i w:val="0"/>
                <w:iCs w:val="0"/>
                <w:color w:val="000000"/>
                <w:kern w:val="0"/>
                <w:sz w:val="24"/>
                <w:szCs w:val="24"/>
                <w:highlight w:val="none"/>
                <w:u w:val="none"/>
                <w:lang w:val="en-US" w:eastAsia="zh-CN" w:bidi="ar"/>
              </w:rPr>
              <w:t>%</w:t>
            </w:r>
          </w:p>
        </w:tc>
      </w:tr>
      <w:tr>
        <w:tblPrEx>
          <w:tblCellMar>
            <w:top w:w="0" w:type="dxa"/>
            <w:left w:w="108" w:type="dxa"/>
            <w:bottom w:w="0" w:type="dxa"/>
            <w:right w:w="108" w:type="dxa"/>
          </w:tblCellMar>
        </w:tblPrEx>
        <w:trPr>
          <w:trHeight w:val="45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天</w:t>
            </w:r>
          </w:p>
        </w:tc>
      </w:tr>
      <w:tr>
        <w:tblPrEx>
          <w:tblCellMar>
            <w:top w:w="0" w:type="dxa"/>
            <w:left w:w="108" w:type="dxa"/>
            <w:bottom w:w="0" w:type="dxa"/>
            <w:right w:w="108" w:type="dxa"/>
          </w:tblCellMar>
        </w:tblPrEx>
        <w:trPr>
          <w:trHeight w:val="55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近年财务状况的年份要求</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62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近年完成的类似项目的年份要求</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81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签字要求</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投标文件的封面需有投标单位盖章和投标单位法人代表或其委托代理人签字或盖章</w:t>
            </w:r>
            <w:r>
              <w:rPr>
                <w:rFonts w:hint="eastAsia" w:ascii="宋体" w:hAnsi="宋体" w:eastAsia="宋体" w:cs="宋体"/>
                <w:color w:val="auto"/>
                <w:sz w:val="24"/>
                <w:szCs w:val="24"/>
                <w:lang w:eastAsia="zh-CN"/>
              </w:rPr>
              <w:t>。</w:t>
            </w:r>
          </w:p>
        </w:tc>
      </w:tr>
      <w:tr>
        <w:tblPrEx>
          <w:tblCellMar>
            <w:top w:w="0" w:type="dxa"/>
            <w:left w:w="108" w:type="dxa"/>
            <w:bottom w:w="0" w:type="dxa"/>
            <w:right w:w="108" w:type="dxa"/>
          </w:tblCellMar>
        </w:tblPrEx>
        <w:trPr>
          <w:trHeight w:val="573"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投标文件份数</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投标文件</w:t>
            </w:r>
            <w:r>
              <w:rPr>
                <w:rFonts w:hint="eastAsia" w:ascii="宋体" w:hAnsi="宋体" w:eastAsia="宋体" w:cs="宋体"/>
                <w:b/>
                <w:bCs/>
                <w:color w:val="auto"/>
                <w:sz w:val="24"/>
                <w:szCs w:val="24"/>
                <w:lang w:val="en-US" w:eastAsia="zh-CN"/>
              </w:rPr>
              <w:t>贰</w:t>
            </w:r>
            <w:r>
              <w:rPr>
                <w:rFonts w:hint="eastAsia" w:ascii="宋体" w:hAnsi="宋体" w:eastAsia="宋体" w:cs="宋体"/>
                <w:b/>
                <w:bCs/>
                <w:color w:val="auto"/>
                <w:sz w:val="24"/>
                <w:szCs w:val="24"/>
              </w:rPr>
              <w:t>份，正本壹份，副本</w:t>
            </w:r>
            <w:r>
              <w:rPr>
                <w:rFonts w:hint="eastAsia" w:ascii="宋体" w:hAnsi="宋体" w:eastAsia="宋体" w:cs="宋体"/>
                <w:b/>
                <w:bCs/>
                <w:color w:val="auto"/>
                <w:sz w:val="24"/>
                <w:szCs w:val="24"/>
                <w:lang w:val="en-US" w:eastAsia="zh-CN"/>
              </w:rPr>
              <w:t>壹</w:t>
            </w:r>
            <w:r>
              <w:rPr>
                <w:rFonts w:hint="eastAsia" w:ascii="宋体" w:hAnsi="宋体" w:eastAsia="宋体" w:cs="宋体"/>
                <w:b/>
                <w:bCs/>
                <w:color w:val="auto"/>
                <w:sz w:val="24"/>
                <w:szCs w:val="24"/>
              </w:rPr>
              <w:t>份</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57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投标文件的装订、密封和标记</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投标文件要求胶装不得活页装订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封口处加盖投标人公章，封套上应写明的内容见投标人须知前附表15条。</w:t>
            </w:r>
          </w:p>
        </w:tc>
      </w:tr>
      <w:tr>
        <w:tblPrEx>
          <w:tblCellMar>
            <w:top w:w="0" w:type="dxa"/>
            <w:left w:w="108" w:type="dxa"/>
            <w:bottom w:w="0" w:type="dxa"/>
            <w:right w:w="108" w:type="dxa"/>
          </w:tblCellMar>
        </w:tblPrEx>
        <w:trPr>
          <w:trHeight w:val="567" w:hRule="atLeast"/>
        </w:trPr>
        <w:tc>
          <w:tcPr>
            <w:tcW w:w="762"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施工组织设计</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项目管理组织方案</w:t>
            </w: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lang w:val="en-US" w:eastAsia="zh-CN"/>
              </w:rPr>
            </w:pPr>
            <w:r>
              <w:rPr>
                <w:rFonts w:hint="eastAsia" w:ascii="宋体" w:hAnsi="宋体" w:eastAsia="宋体" w:cs="宋体"/>
                <w:sz w:val="24"/>
                <w:szCs w:val="24"/>
                <w:lang w:val="en-US" w:eastAsia="zh-CN"/>
              </w:rPr>
              <w:t>1、</w:t>
            </w:r>
            <w:r>
              <w:rPr>
                <w:rFonts w:ascii="宋体" w:hAnsi="宋体" w:eastAsia="宋体" w:cs="宋体"/>
                <w:sz w:val="24"/>
                <w:szCs w:val="24"/>
              </w:rPr>
              <w:t>全文页数不超过120页规定页数，评委会不对超过页数进行评审。</w:t>
            </w:r>
          </w:p>
        </w:tc>
      </w:tr>
      <w:tr>
        <w:tblPrEx>
          <w:tblCellMar>
            <w:top w:w="0" w:type="dxa"/>
            <w:left w:w="108" w:type="dxa"/>
            <w:bottom w:w="0" w:type="dxa"/>
            <w:right w:w="108" w:type="dxa"/>
          </w:tblCellMar>
        </w:tblPrEx>
        <w:trPr>
          <w:trHeight w:val="8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封套上应载明的信息</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p>
            <w:pPr>
              <w:spacing w:line="240" w:lineRule="auto"/>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招标人名称：</w:t>
            </w:r>
            <w:r>
              <w:rPr>
                <w:rFonts w:hint="eastAsia" w:ascii="宋体" w:hAnsi="宋体" w:eastAsia="宋体" w:cs="宋体"/>
                <w:color w:val="auto"/>
                <w:sz w:val="24"/>
                <w:szCs w:val="24"/>
                <w:u w:val="single"/>
              </w:rPr>
              <w:t>（项目名称）</w:t>
            </w:r>
          </w:p>
        </w:tc>
      </w:tr>
      <w:tr>
        <w:tblPrEx>
          <w:tblCellMar>
            <w:top w:w="0" w:type="dxa"/>
            <w:left w:w="108" w:type="dxa"/>
            <w:bottom w:w="0" w:type="dxa"/>
            <w:right w:w="108" w:type="dxa"/>
          </w:tblCellMar>
        </w:tblPrEx>
        <w:trPr>
          <w:trHeight w:val="67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递交投标文件地点</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安徽省宣城市宁国市青华路与仙霞路交口汇金广场</w:t>
            </w:r>
            <w:r>
              <w:rPr>
                <w:rFonts w:hint="eastAsia" w:ascii="宋体" w:hAnsi="宋体" w:eastAsia="宋体" w:cs="宋体"/>
                <w:color w:val="auto"/>
                <w:sz w:val="24"/>
                <w:szCs w:val="24"/>
                <w:lang w:eastAsia="zh-CN"/>
              </w:rPr>
              <w:t>安徽津腾建设工程有限公司三楼</w:t>
            </w:r>
            <w:r>
              <w:rPr>
                <w:rFonts w:hint="eastAsia" w:ascii="宋体" w:hAnsi="宋体" w:eastAsia="宋体" w:cs="宋体"/>
                <w:color w:val="auto"/>
                <w:sz w:val="24"/>
                <w:szCs w:val="24"/>
                <w:lang w:val="en-US" w:eastAsia="zh-CN"/>
              </w:rPr>
              <w:t>成本部</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陆先生</w:t>
            </w:r>
            <w:r>
              <w:rPr>
                <w:rFonts w:hint="eastAsia" w:ascii="宋体" w:hAnsi="宋体" w:eastAsia="宋体" w:cs="宋体"/>
                <w:color w:val="auto"/>
                <w:sz w:val="24"/>
                <w:szCs w:val="24"/>
                <w:lang w:eastAsia="zh-CN"/>
              </w:rPr>
              <w:t>收</w:t>
            </w:r>
          </w:p>
        </w:tc>
      </w:tr>
      <w:tr>
        <w:tblPrEx>
          <w:tblCellMar>
            <w:top w:w="0" w:type="dxa"/>
            <w:left w:w="108" w:type="dxa"/>
            <w:bottom w:w="0" w:type="dxa"/>
            <w:right w:w="108" w:type="dxa"/>
          </w:tblCellMar>
        </w:tblPrEx>
        <w:trPr>
          <w:trHeight w:val="70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是否退还投标文件</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pStyle w:val="16"/>
              <w:topLinePunct/>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□是</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开标时间和地点</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开标时间：同投标截止时间</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开标地点：同递交投标文件地点</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475" w:type="dxa"/>
            <w:tcBorders>
              <w:top w:val="single" w:color="auto" w:sz="4" w:space="0"/>
              <w:left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评标办法</w:t>
            </w:r>
          </w:p>
        </w:tc>
        <w:tc>
          <w:tcPr>
            <w:tcW w:w="5073" w:type="dxa"/>
            <w:gridSpan w:val="2"/>
            <w:tcBorders>
              <w:top w:val="single" w:color="auto" w:sz="4" w:space="0"/>
              <w:left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综合评分法</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0</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w:t>
            </w:r>
          </w:p>
        </w:tc>
        <w:tc>
          <w:tcPr>
            <w:tcW w:w="507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投标保证金额：</w:t>
            </w:r>
            <w:r>
              <w:rPr>
                <w:rFonts w:hint="eastAsia" w:ascii="宋体" w:hAnsi="宋体" w:eastAsia="宋体" w:cs="宋体"/>
                <w:b/>
                <w:bCs/>
                <w:color w:val="auto"/>
                <w:sz w:val="24"/>
                <w:szCs w:val="24"/>
                <w:u w:val="single"/>
                <w:lang w:val="en-US" w:eastAsia="zh-CN"/>
              </w:rPr>
              <w:t>20</w:t>
            </w:r>
            <w:r>
              <w:rPr>
                <w:rFonts w:hint="eastAsia" w:ascii="宋体" w:hAnsi="宋体" w:eastAsia="宋体" w:cs="宋体"/>
                <w:b/>
                <w:bCs/>
                <w:color w:val="auto"/>
                <w:sz w:val="24"/>
                <w:szCs w:val="24"/>
                <w:highlight w:val="none"/>
                <w:u w:val="single"/>
                <w:lang w:val="en-US" w:eastAsia="zh-CN"/>
              </w:rPr>
              <w:t>万元</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rPr>
              <w:t>保证金缴纳截止时间：投标截止时间</w:t>
            </w:r>
            <w:r>
              <w:rPr>
                <w:rFonts w:hint="eastAsia" w:ascii="宋体" w:hAnsi="宋体" w:eastAsia="宋体" w:cs="宋体"/>
                <w:color w:val="auto"/>
                <w:sz w:val="24"/>
                <w:szCs w:val="24"/>
                <w:lang w:eastAsia="zh-CN"/>
              </w:rPr>
              <w:t>；</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投标保证金形式：</w:t>
            </w:r>
            <w:r>
              <w:rPr>
                <w:rFonts w:hint="eastAsia" w:ascii="宋体" w:hAnsi="宋体" w:eastAsia="宋体" w:cs="宋体"/>
                <w:color w:val="auto"/>
                <w:sz w:val="24"/>
                <w:szCs w:val="24"/>
                <w:lang w:eastAsia="zh-CN"/>
              </w:rPr>
              <w:sym w:font="Wingdings 2" w:char="0052"/>
            </w:r>
            <w:r>
              <w:rPr>
                <w:rFonts w:hint="eastAsia" w:ascii="宋体" w:hAnsi="宋体" w:eastAsia="宋体" w:cs="宋体"/>
                <w:color w:val="auto"/>
                <w:sz w:val="24"/>
                <w:szCs w:val="24"/>
              </w:rPr>
              <w:t>现金（电汇或转账）</w:t>
            </w:r>
          </w:p>
          <w:p>
            <w:pPr>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投标保证金账户</w:t>
            </w:r>
            <w:r>
              <w:rPr>
                <w:rFonts w:hint="eastAsia" w:ascii="宋体" w:hAnsi="宋体" w:eastAsia="宋体" w:cs="宋体"/>
                <w:color w:val="auto"/>
                <w:sz w:val="24"/>
                <w:szCs w:val="24"/>
                <w:lang w:eastAsia="zh-CN"/>
              </w:rPr>
              <w:t>：</w:t>
            </w:r>
          </w:p>
          <w:p>
            <w:pPr>
              <w:spacing w:line="240" w:lineRule="auto"/>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账户名：</w:t>
            </w:r>
            <w:r>
              <w:rPr>
                <w:rFonts w:hint="eastAsia" w:ascii="宋体" w:hAnsi="宋体" w:eastAsia="宋体" w:cs="宋体"/>
                <w:color w:val="auto"/>
                <w:sz w:val="24"/>
                <w:szCs w:val="24"/>
                <w:u w:val="single"/>
                <w:lang w:eastAsia="zh-CN"/>
              </w:rPr>
              <w:t>安徽津腾建设工程有限公司</w:t>
            </w:r>
          </w:p>
          <w:p>
            <w:pPr>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开户行：</w:t>
            </w:r>
            <w:r>
              <w:rPr>
                <w:rFonts w:hint="eastAsia" w:ascii="宋体" w:hAnsi="宋体" w:eastAsia="宋体" w:cs="宋体"/>
                <w:color w:val="auto"/>
                <w:sz w:val="24"/>
                <w:szCs w:val="24"/>
                <w:u w:val="single"/>
              </w:rPr>
              <w:t>安徽郎溪农村商业银行股份有限公司</w:t>
            </w:r>
          </w:p>
          <w:p>
            <w:pPr>
              <w:spacing w:line="240" w:lineRule="auto"/>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号：</w:t>
            </w:r>
            <w:r>
              <w:rPr>
                <w:rFonts w:hint="eastAsia" w:ascii="宋体" w:hAnsi="宋体" w:eastAsia="宋体" w:cs="宋体"/>
                <w:color w:val="auto"/>
                <w:sz w:val="24"/>
                <w:szCs w:val="24"/>
                <w:u w:val="single"/>
              </w:rPr>
              <w:t>20010289345266600000034</w:t>
            </w:r>
          </w:p>
          <w:p>
            <w:pPr>
              <w:spacing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递交要求：</w:t>
            </w:r>
          </w:p>
          <w:p>
            <w:pPr>
              <w:numPr>
                <w:ilvl w:val="0"/>
                <w:numId w:val="2"/>
              </w:numPr>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保证金必须从投标人的开户银行基本账户足额转出，汇款人必须与投标人名称相一致，不得由其他法人或其他组织代汇，也不得从个人账户代汇。投标保证金必须在投标截止时间前到达指定账户，由于投标人迟汇、错汇、误汇等未按规定提交投标保证金而引起的风险由投标人自负。</w:t>
            </w:r>
            <w:r>
              <w:rPr>
                <w:rFonts w:hint="eastAsia" w:ascii="宋体" w:hAnsi="宋体" w:eastAsia="宋体" w:cs="宋体"/>
                <w:color w:val="auto"/>
                <w:sz w:val="24"/>
                <w:szCs w:val="24"/>
                <w:lang w:eastAsia="zh-CN"/>
              </w:rPr>
              <w:t>未中标单位投标保证金在开标结果公示后</w:t>
            </w:r>
            <w:r>
              <w:rPr>
                <w:rFonts w:hint="eastAsia" w:ascii="宋体" w:hAnsi="宋体" w:eastAsia="宋体" w:cs="宋体"/>
                <w:color w:val="auto"/>
                <w:sz w:val="24"/>
                <w:szCs w:val="24"/>
                <w:lang w:val="en-US" w:eastAsia="zh-CN"/>
              </w:rPr>
              <w:t>15日内无息退还。</w:t>
            </w:r>
          </w:p>
          <w:p>
            <w:pPr>
              <w:numPr>
                <w:ilvl w:val="0"/>
                <w:numId w:val="0"/>
              </w:numPr>
              <w:spacing w:line="240" w:lineRule="auto"/>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有下列情形之一的，投标保证金将不予退还：</w:t>
            </w:r>
          </w:p>
          <w:p>
            <w:pPr>
              <w:numPr>
                <w:ilvl w:val="0"/>
                <w:numId w:val="0"/>
              </w:numPr>
              <w:spacing w:line="240" w:lineRule="auto"/>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rPr>
              <w:t>①投标截止后投标人撤销投标文件的；②中标人在收到中标通知书后，无正当理由不与招标人订立合同</w:t>
            </w:r>
            <w:r>
              <w:rPr>
                <w:rFonts w:hint="eastAsia" w:ascii="宋体" w:hAnsi="宋体" w:eastAsia="宋体" w:cs="宋体"/>
                <w:color w:val="auto"/>
                <w:sz w:val="24"/>
                <w:szCs w:val="24"/>
                <w:lang w:eastAsia="zh-CN"/>
              </w:rPr>
              <w:t>。</w:t>
            </w:r>
          </w:p>
        </w:tc>
      </w:tr>
      <w:tr>
        <w:tblPrEx>
          <w:tblCellMar>
            <w:top w:w="0" w:type="dxa"/>
            <w:left w:w="108" w:type="dxa"/>
            <w:bottom w:w="0" w:type="dxa"/>
            <w:right w:w="108" w:type="dxa"/>
          </w:tblCellMar>
        </w:tblPrEx>
        <w:trPr>
          <w:trHeight w:val="529"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p>
        </w:tc>
        <w:tc>
          <w:tcPr>
            <w:tcW w:w="754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u w:val="none" w:color="auto"/>
                <w:lang w:eastAsia="zh-CN"/>
              </w:rPr>
              <w:t>需要补充的其他内容</w:t>
            </w:r>
          </w:p>
        </w:tc>
      </w:tr>
      <w:tr>
        <w:tblPrEx>
          <w:tblCellMar>
            <w:top w:w="0" w:type="dxa"/>
            <w:left w:w="108" w:type="dxa"/>
            <w:bottom w:w="0" w:type="dxa"/>
            <w:right w:w="108" w:type="dxa"/>
          </w:tblCellMar>
        </w:tblPrEx>
        <w:trPr>
          <w:trHeight w:val="64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p>
        </w:tc>
        <w:tc>
          <w:tcPr>
            <w:tcW w:w="754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资格审查材料：</w:t>
            </w:r>
          </w:p>
          <w:p>
            <w:pPr>
              <w:numPr>
                <w:ilvl w:val="0"/>
                <w:numId w:val="3"/>
              </w:numPr>
              <w:spacing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企业营业执照、企业资质证书、企业安全生产许可证；</w:t>
            </w:r>
          </w:p>
          <w:p>
            <w:pPr>
              <w:spacing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2、项目经理（具有机电工程专业贰级注册建造师，安全B证）；</w:t>
            </w:r>
          </w:p>
          <w:p>
            <w:pPr>
              <w:spacing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3、技术负责人（具有中级工程师职称证书）；</w:t>
            </w:r>
          </w:p>
          <w:p>
            <w:pPr>
              <w:spacing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4、安全员、施工员及质量员等相关证件；</w:t>
            </w:r>
          </w:p>
          <w:p>
            <w:pPr>
              <w:spacing w:line="24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5、资格审查材料均以装订在投标文件正本中的复印件或扫描件加盖单位公章为准，否则按未实质性响应招标文件处理；</w:t>
            </w:r>
          </w:p>
          <w:p>
            <w:pPr>
              <w:spacing w:line="240" w:lineRule="auto"/>
              <w:jc w:val="left"/>
              <w:rPr>
                <w:rFonts w:hint="eastAsia" w:ascii="宋体" w:hAnsi="宋体" w:eastAsia="宋体" w:cs="宋体"/>
                <w:color w:val="auto"/>
                <w:sz w:val="24"/>
                <w:szCs w:val="24"/>
              </w:rPr>
            </w:pPr>
            <w:r>
              <w:rPr>
                <w:rFonts w:hint="eastAsia" w:ascii="宋体" w:hAnsi="宋体" w:eastAsia="宋体" w:cs="宋体"/>
                <w:b w:val="0"/>
                <w:bCs w:val="0"/>
                <w:color w:val="auto"/>
                <w:sz w:val="24"/>
                <w:szCs w:val="24"/>
                <w:lang w:val="en-US" w:eastAsia="zh-CN"/>
              </w:rPr>
              <w:t>6、投标文件副本可为正本的复印件。</w:t>
            </w:r>
          </w:p>
        </w:tc>
      </w:tr>
      <w:tr>
        <w:tblPrEx>
          <w:tblCellMar>
            <w:top w:w="0" w:type="dxa"/>
            <w:left w:w="108" w:type="dxa"/>
            <w:bottom w:w="0" w:type="dxa"/>
            <w:right w:w="108" w:type="dxa"/>
          </w:tblCellMar>
        </w:tblPrEx>
        <w:trPr>
          <w:trHeight w:val="63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p>
        </w:tc>
        <w:tc>
          <w:tcPr>
            <w:tcW w:w="7548"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p>
        </w:tc>
        <w:tc>
          <w:tcPr>
            <w:tcW w:w="754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360" w:lineRule="auto"/>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合同价格形式：</w:t>
            </w:r>
            <w:r>
              <w:rPr>
                <w:rFonts w:hint="eastAsia" w:ascii="宋体" w:hAnsi="宋体" w:eastAsia="宋体" w:cs="宋体"/>
                <w:b/>
                <w:bCs/>
                <w:color w:val="auto"/>
                <w:sz w:val="23"/>
                <w:szCs w:val="23"/>
                <w:lang w:val="en-US" w:eastAsia="zh-CN"/>
              </w:rPr>
              <w:t>☑本工程报价折扣率不予调整</w:t>
            </w:r>
            <w:r>
              <w:rPr>
                <w:rFonts w:hint="eastAsia" w:ascii="宋体" w:hAnsi="宋体" w:eastAsia="宋体" w:cs="宋体"/>
                <w:color w:val="auto"/>
                <w:sz w:val="23"/>
                <w:szCs w:val="23"/>
                <w:lang w:val="en-US" w:eastAsia="zh-CN"/>
              </w:rPr>
              <w:t>。</w:t>
            </w:r>
            <w:r>
              <w:rPr>
                <w:rFonts w:hint="eastAsia" w:ascii="宋体" w:hAnsi="宋体" w:eastAsia="宋体" w:cs="宋体"/>
                <w:color w:val="auto"/>
                <w:kern w:val="0"/>
                <w:sz w:val="23"/>
                <w:szCs w:val="23"/>
                <w:lang w:val="en-US" w:eastAsia="zh-CN" w:bidi="ar"/>
              </w:rPr>
              <w:t>工程建设费用结算=工程建设费用×投标报价折扣率（最终以审计部门出具的审计报告工程量及价格为准）。</w:t>
            </w:r>
          </w:p>
          <w:p>
            <w:pPr>
              <w:numPr>
                <w:ilvl w:val="0"/>
                <w:numId w:val="4"/>
              </w:numPr>
              <w:spacing w:line="36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b/>
                <w:bCs/>
                <w:color w:val="auto"/>
                <w:sz w:val="23"/>
                <w:szCs w:val="23"/>
                <w:lang w:val="en-US" w:eastAsia="zh-CN"/>
              </w:rPr>
              <w:t>付款方式：按照季度支付，每次支付已完验收合格工程量的60%，工程结算审核后付至审定的结算总价款的97%，余款3%作为质量保证金（质保期为两年），质保期届满无质量问题，无息退还全部质保金。</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p>
        </w:tc>
        <w:tc>
          <w:tcPr>
            <w:tcW w:w="7548" w:type="dxa"/>
            <w:gridSpan w:val="3"/>
            <w:tcBorders>
              <w:top w:val="single" w:color="auto" w:sz="4" w:space="0"/>
              <w:left w:val="single" w:color="auto" w:sz="4" w:space="0"/>
              <w:bottom w:val="single" w:color="auto" w:sz="4" w:space="0"/>
              <w:right w:val="single" w:color="auto" w:sz="4" w:space="0"/>
            </w:tcBorders>
            <w:noWrap w:val="0"/>
            <w:vAlign w:val="center"/>
          </w:tcPr>
          <w:p>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备注：</w:t>
            </w:r>
          </w:p>
          <w:p>
            <w:pPr>
              <w:numPr>
                <w:ilvl w:val="0"/>
                <w:numId w:val="5"/>
              </w:numPr>
              <w:spacing w:line="240" w:lineRule="auto"/>
              <w:jc w:val="left"/>
              <w:rPr>
                <w:rFonts w:hint="eastAsia" w:ascii="宋体" w:hAnsi="宋体" w:eastAsia="宋体" w:cs="宋体"/>
                <w:b w:val="0"/>
                <w:bCs w:val="0"/>
                <w:sz w:val="23"/>
                <w:szCs w:val="23"/>
                <w:lang w:val="en-US" w:eastAsia="zh-CN"/>
              </w:rPr>
            </w:pPr>
            <w:r>
              <w:rPr>
                <w:rFonts w:hint="eastAsia" w:ascii="宋体" w:hAnsi="宋体" w:eastAsia="宋体" w:cs="宋体"/>
                <w:b w:val="0"/>
                <w:bCs w:val="0"/>
                <w:color w:val="auto"/>
                <w:sz w:val="23"/>
                <w:szCs w:val="23"/>
                <w:lang w:val="en-US" w:eastAsia="zh-CN"/>
              </w:rPr>
              <w:t>本项目材料检测、检验等一切费用均由中标人承担。</w:t>
            </w:r>
          </w:p>
          <w:p>
            <w:pPr>
              <w:numPr>
                <w:ilvl w:val="0"/>
                <w:numId w:val="5"/>
              </w:numPr>
              <w:spacing w:line="240" w:lineRule="auto"/>
              <w:jc w:val="left"/>
              <w:rPr>
                <w:rFonts w:hint="eastAsia" w:ascii="宋体" w:hAnsi="宋体" w:eastAsia="宋体" w:cs="宋体"/>
                <w:b w:val="0"/>
                <w:bCs w:val="0"/>
                <w:sz w:val="23"/>
                <w:szCs w:val="23"/>
                <w:lang w:val="en-US" w:eastAsia="zh-CN"/>
              </w:rPr>
            </w:pPr>
            <w:r>
              <w:rPr>
                <w:rFonts w:hint="eastAsia" w:ascii="宋体" w:hAnsi="宋体" w:eastAsia="宋体" w:cs="宋体"/>
                <w:b w:val="0"/>
                <w:bCs w:val="0"/>
                <w:sz w:val="23"/>
                <w:szCs w:val="23"/>
                <w:lang w:val="en-US" w:eastAsia="zh-CN"/>
              </w:rPr>
              <w:t>在施工过程中，招标人代表或监理单位发现产品的品种、型号、规格质量不符合规定，有权拒绝验收，如已施工的，必须无条件重新返工至合格为准，期间产生的一切经济损失由中标人负责。</w:t>
            </w:r>
          </w:p>
          <w:p>
            <w:pPr>
              <w:numPr>
                <w:ilvl w:val="0"/>
                <w:numId w:val="5"/>
              </w:numPr>
              <w:spacing w:line="240" w:lineRule="auto"/>
              <w:jc w:val="left"/>
              <w:rPr>
                <w:rFonts w:hint="eastAsia" w:ascii="宋体" w:hAnsi="宋体" w:eastAsia="宋体" w:cs="宋体"/>
                <w:b w:val="0"/>
                <w:bCs w:val="0"/>
                <w:sz w:val="23"/>
                <w:szCs w:val="23"/>
                <w:lang w:val="en-US" w:eastAsia="zh-CN"/>
              </w:rPr>
            </w:pPr>
            <w:r>
              <w:rPr>
                <w:rFonts w:hint="eastAsia" w:ascii="宋体" w:hAnsi="宋体" w:eastAsia="宋体" w:cs="宋体"/>
                <w:b w:val="0"/>
                <w:bCs w:val="0"/>
                <w:sz w:val="23"/>
                <w:szCs w:val="23"/>
                <w:lang w:val="en-US" w:eastAsia="zh-CN"/>
              </w:rPr>
              <w:t>具体施工范围以招标人书面通知为准，如局部验收不合格，不能满足招标人要求的，招标人有权单方终止合同。</w:t>
            </w:r>
          </w:p>
          <w:p>
            <w:pPr>
              <w:pageBreakBefore w:val="0"/>
              <w:widowControl w:val="0"/>
              <w:kinsoku/>
              <w:wordWrap/>
              <w:overflowPunct/>
              <w:topLinePunct w:val="0"/>
              <w:autoSpaceDE/>
              <w:autoSpaceDN/>
              <w:bidi w:val="0"/>
              <w:adjustRightInd/>
              <w:snapToGrid/>
              <w:spacing w:before="0" w:beforeLines="0" w:after="0" w:afterLines="0" w:line="240" w:lineRule="auto"/>
              <w:textAlignment w:val="auto"/>
              <w:outlineLvl w:val="9"/>
              <w:rPr>
                <w:rFonts w:hint="eastAsia" w:ascii="宋体" w:hAnsi="宋体" w:eastAsia="宋体" w:cs="宋体"/>
                <w:b w:val="0"/>
                <w:bCs w:val="0"/>
                <w:kern w:val="0"/>
                <w:sz w:val="23"/>
                <w:szCs w:val="23"/>
                <w:lang w:val="en-US" w:eastAsia="zh-CN" w:bidi="ar-SA"/>
              </w:rPr>
            </w:pPr>
            <w:r>
              <w:rPr>
                <w:rFonts w:hint="eastAsia" w:ascii="宋体" w:hAnsi="宋体" w:eastAsia="宋体" w:cs="宋体"/>
                <w:b w:val="0"/>
                <w:bCs w:val="0"/>
                <w:kern w:val="0"/>
                <w:sz w:val="23"/>
                <w:szCs w:val="23"/>
                <w:lang w:val="en-US" w:eastAsia="zh-CN" w:bidi="ar-SA"/>
              </w:rPr>
              <w:t>4、若中标人及下属班组存在恶意讨薪，无故向政府相关主管部门恶意投诉，消极怠工、无故停工或涉及经济纠纷对甲方造成经济损失及产生不良社会影响等行为，甲方将视情况严重性将其列入甲方企业合作库黑名单，情况严重的，甲方将依法追究其法律责任。</w:t>
            </w:r>
          </w:p>
          <w:p>
            <w:pPr>
              <w:numPr>
                <w:ilvl w:val="0"/>
                <w:numId w:val="0"/>
              </w:numPr>
              <w:spacing w:line="240" w:lineRule="auto"/>
              <w:ind w:leftChars="0"/>
              <w:jc w:val="left"/>
              <w:rPr>
                <w:rFonts w:hint="eastAsia"/>
                <w:lang w:val="en-US" w:eastAsia="zh-CN"/>
              </w:rPr>
            </w:pPr>
            <w:r>
              <w:rPr>
                <w:rFonts w:hint="eastAsia" w:ascii="宋体" w:hAnsi="宋体" w:eastAsia="宋体" w:cs="宋体"/>
                <w:b w:val="0"/>
                <w:bCs w:val="0"/>
                <w:sz w:val="23"/>
                <w:szCs w:val="23"/>
                <w:lang w:val="en-US" w:eastAsia="zh-CN"/>
              </w:rPr>
              <w:t>5、本工程暂按中标金额30%与联合体牵头人签订合同，需提供9%增值税专用发票。暂按中标金额70%与联合体成员签订合同，需提供13%增值税专用发票。以上其他税费按照招标人公司规定计取。</w:t>
            </w:r>
          </w:p>
        </w:tc>
      </w:tr>
      <w:tr>
        <w:tblPrEx>
          <w:tblCellMar>
            <w:top w:w="0" w:type="dxa"/>
            <w:left w:w="108" w:type="dxa"/>
            <w:bottom w:w="0" w:type="dxa"/>
            <w:right w:w="108" w:type="dxa"/>
          </w:tblCellMar>
        </w:tblPrEx>
        <w:trPr>
          <w:trHeight w:val="133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28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履约保证金</w:t>
            </w:r>
          </w:p>
          <w:p>
            <w:pPr>
              <w:spacing w:line="360" w:lineRule="auto"/>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rPr>
              <w:t>质量保证金</w:t>
            </w:r>
          </w:p>
        </w:tc>
        <w:tc>
          <w:tcPr>
            <w:tcW w:w="46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b w:val="0"/>
                <w:bCs w:val="0"/>
                <w:color w:val="auto"/>
                <w:sz w:val="23"/>
                <w:szCs w:val="23"/>
                <w:u w:val="single"/>
              </w:rPr>
            </w:pPr>
            <w:r>
              <w:rPr>
                <w:rFonts w:hint="eastAsia" w:ascii="宋体" w:hAnsi="宋体" w:eastAsia="宋体" w:cs="宋体"/>
                <w:b/>
                <w:bCs/>
                <w:color w:val="auto"/>
                <w:sz w:val="23"/>
                <w:szCs w:val="23"/>
              </w:rPr>
              <w:t>履约保证金：</w:t>
            </w:r>
            <w:r>
              <w:rPr>
                <w:rFonts w:hint="eastAsia" w:ascii="宋体" w:hAnsi="宋体" w:eastAsia="宋体" w:cs="宋体"/>
                <w:color w:val="000000"/>
                <w:kern w:val="0"/>
                <w:sz w:val="23"/>
                <w:szCs w:val="23"/>
                <w:u w:val="single"/>
                <w:lang w:val="en-US" w:eastAsia="zh-CN"/>
              </w:rPr>
              <w:t>中标价的2%，</w:t>
            </w:r>
            <w:r>
              <w:rPr>
                <w:rFonts w:hint="eastAsia" w:ascii="宋体" w:hAnsi="宋体" w:eastAsia="宋体" w:cs="宋体"/>
                <w:color w:val="000000"/>
                <w:kern w:val="0"/>
                <w:sz w:val="23"/>
                <w:szCs w:val="23"/>
                <w:u w:val="single"/>
              </w:rPr>
              <w:t>中标人投标保证金</w:t>
            </w:r>
            <w:r>
              <w:rPr>
                <w:rFonts w:hint="eastAsia" w:ascii="宋体" w:hAnsi="宋体" w:eastAsia="宋体" w:cs="宋体"/>
                <w:color w:val="000000"/>
                <w:kern w:val="0"/>
                <w:sz w:val="23"/>
                <w:szCs w:val="23"/>
                <w:u w:val="single"/>
                <w:lang w:val="en-US" w:eastAsia="zh-CN"/>
              </w:rPr>
              <w:t>直接</w:t>
            </w:r>
            <w:r>
              <w:rPr>
                <w:rFonts w:hint="eastAsia" w:ascii="宋体" w:hAnsi="宋体" w:eastAsia="宋体" w:cs="宋体"/>
                <w:color w:val="000000"/>
                <w:kern w:val="0"/>
                <w:sz w:val="23"/>
                <w:szCs w:val="23"/>
                <w:u w:val="single"/>
              </w:rPr>
              <w:t>转为履约保证金</w:t>
            </w:r>
            <w:r>
              <w:rPr>
                <w:rFonts w:hint="eastAsia" w:ascii="宋体" w:hAnsi="宋体" w:eastAsia="宋体" w:cs="宋体"/>
                <w:color w:val="000000"/>
                <w:kern w:val="0"/>
                <w:sz w:val="23"/>
                <w:szCs w:val="23"/>
                <w:u w:val="single"/>
                <w:lang w:eastAsia="zh-CN"/>
              </w:rPr>
              <w:t>，</w:t>
            </w:r>
            <w:r>
              <w:rPr>
                <w:rFonts w:hint="eastAsia" w:ascii="宋体" w:hAnsi="宋体" w:eastAsia="宋体" w:cs="宋体"/>
                <w:color w:val="000000"/>
                <w:kern w:val="0"/>
                <w:sz w:val="23"/>
                <w:szCs w:val="23"/>
                <w:u w:val="single"/>
                <w:lang w:val="en-US" w:eastAsia="zh-CN"/>
              </w:rPr>
              <w:t>差额退还</w:t>
            </w:r>
            <w:r>
              <w:rPr>
                <w:rFonts w:hint="eastAsia" w:ascii="宋体" w:hAnsi="宋体" w:eastAsia="宋体" w:cs="宋体"/>
                <w:color w:val="000000"/>
                <w:kern w:val="0"/>
                <w:sz w:val="23"/>
                <w:szCs w:val="23"/>
                <w:u w:val="single"/>
                <w:lang w:eastAsia="zh-CN"/>
              </w:rPr>
              <w:t>。</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b/>
                <w:bCs/>
                <w:color w:val="auto"/>
                <w:sz w:val="23"/>
                <w:szCs w:val="23"/>
                <w:lang w:val="en-US" w:eastAsia="zh-CN"/>
              </w:rPr>
              <w:t>质量保证金：</w:t>
            </w:r>
            <w:r>
              <w:rPr>
                <w:rFonts w:hint="eastAsia" w:ascii="宋体" w:hAnsi="宋体" w:eastAsia="宋体" w:cs="宋体"/>
                <w:b w:val="0"/>
                <w:bCs w:val="0"/>
                <w:color w:val="auto"/>
                <w:sz w:val="23"/>
                <w:szCs w:val="23"/>
                <w:highlight w:val="none"/>
                <w:lang w:eastAsia="zh-CN"/>
              </w:rPr>
              <w:t>结算价</w:t>
            </w:r>
            <w:r>
              <w:rPr>
                <w:rFonts w:hint="eastAsia" w:ascii="宋体" w:hAnsi="宋体" w:eastAsia="宋体" w:cs="宋体"/>
                <w:b w:val="0"/>
                <w:bCs w:val="0"/>
                <w:color w:val="auto"/>
                <w:sz w:val="23"/>
                <w:szCs w:val="23"/>
                <w:highlight w:val="none"/>
              </w:rPr>
              <w:t>的3%</w:t>
            </w:r>
            <w:r>
              <w:rPr>
                <w:rFonts w:hint="eastAsia" w:ascii="宋体" w:hAnsi="宋体" w:eastAsia="宋体" w:cs="宋体"/>
                <w:b w:val="0"/>
                <w:bCs w:val="0"/>
                <w:color w:val="auto"/>
                <w:sz w:val="23"/>
                <w:szCs w:val="23"/>
                <w:highlight w:val="none"/>
                <w:lang w:eastAsia="zh-CN"/>
              </w:rPr>
              <w:t>，</w:t>
            </w:r>
            <w:r>
              <w:rPr>
                <w:rFonts w:hint="eastAsia" w:ascii="宋体" w:hAnsi="宋体" w:eastAsia="宋体" w:cs="宋体"/>
                <w:b w:val="0"/>
                <w:bCs w:val="0"/>
                <w:color w:val="auto"/>
                <w:sz w:val="23"/>
                <w:szCs w:val="23"/>
                <w:highlight w:val="none"/>
                <w:lang w:val="en-US" w:eastAsia="zh-CN"/>
              </w:rPr>
              <w:t>作为质量保证金。</w:t>
            </w:r>
          </w:p>
        </w:tc>
      </w:tr>
    </w:tbl>
    <w:p>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注：1、本表内容与其他部分不一致时，以此表为准。</w:t>
      </w:r>
    </w:p>
    <w:p>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第三章 投标文件</w:t>
      </w:r>
      <w:r>
        <w:rPr>
          <w:rFonts w:hint="eastAsia" w:ascii="黑体" w:hAnsi="黑体" w:eastAsia="黑体" w:cs="黑体"/>
          <w:b/>
          <w:bCs/>
          <w:color w:val="auto"/>
          <w:sz w:val="44"/>
          <w:szCs w:val="44"/>
        </w:rPr>
        <w:t>的组成</w:t>
      </w:r>
    </w:p>
    <w:p>
      <w:pPr>
        <w:pStyle w:val="43"/>
        <w:rPr>
          <w:rFonts w:hint="default" w:ascii="Times New Roman" w:hAnsi="Times New Roman" w:eastAsia="仿宋_GB2312" w:cs="Times New Roman"/>
          <w:b w:val="0"/>
          <w:bCs w:val="0"/>
          <w:color w:val="auto"/>
          <w:sz w:val="21"/>
          <w:szCs w:val="24"/>
        </w:rPr>
      </w:pPr>
    </w:p>
    <w:p>
      <w:pPr>
        <w:ind w:firstLine="2891" w:firstLineChars="1200"/>
        <w:jc w:val="both"/>
        <w:rPr>
          <w:rFonts w:hint="eastAsia" w:ascii="宋体" w:hAnsi="宋体" w:eastAsia="宋体" w:cs="宋体"/>
          <w:b/>
          <w:bCs/>
          <w:color w:val="auto"/>
          <w:sz w:val="24"/>
          <w:szCs w:val="24"/>
        </w:rPr>
      </w:pPr>
      <w:bookmarkStart w:id="22" w:name="_Toc152042323"/>
      <w:bookmarkStart w:id="23" w:name="_Toc144974515"/>
      <w:bookmarkStart w:id="24" w:name="_Toc179632565"/>
      <w:bookmarkStart w:id="25" w:name="_Toc246996935"/>
      <w:bookmarkStart w:id="26" w:name="_Toc296602437"/>
      <w:bookmarkStart w:id="27" w:name="_Toc246996192"/>
      <w:bookmarkStart w:id="28" w:name="_Toc152045547"/>
      <w:bookmarkStart w:id="29" w:name="_Toc247085706"/>
      <w:r>
        <w:rPr>
          <w:rFonts w:hint="eastAsia" w:ascii="宋体" w:hAnsi="宋体" w:eastAsia="宋体" w:cs="宋体"/>
          <w:b/>
          <w:bCs/>
          <w:color w:val="auto"/>
          <w:sz w:val="24"/>
          <w:szCs w:val="24"/>
        </w:rPr>
        <w:t>3.1投标文件的组成</w:t>
      </w:r>
      <w:bookmarkEnd w:id="22"/>
      <w:bookmarkEnd w:id="23"/>
      <w:bookmarkEnd w:id="24"/>
      <w:bookmarkEnd w:id="25"/>
      <w:bookmarkEnd w:id="26"/>
      <w:bookmarkEnd w:id="27"/>
      <w:bookmarkEnd w:id="28"/>
      <w:bookmarkEnd w:id="29"/>
    </w:p>
    <w:p>
      <w:pPr>
        <w:pStyle w:val="186"/>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b w:val="0"/>
          <w:bCs w:val="0"/>
          <w:kern w:val="0"/>
          <w:sz w:val="24"/>
          <w:szCs w:val="24"/>
          <w:lang w:val="en-US" w:eastAsia="zh-CN" w:bidi="ar-SA"/>
        </w:rPr>
        <w:t>2、联合体投标合作协议</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3</w:t>
      </w:r>
      <w:r>
        <w:rPr>
          <w:rFonts w:hint="eastAsia" w:ascii="宋体" w:hAnsi="宋体" w:eastAsia="宋体" w:cs="宋体"/>
          <w:color w:val="auto"/>
          <w:kern w:val="0"/>
          <w:sz w:val="24"/>
          <w:szCs w:val="24"/>
          <w:lang w:val="en-US" w:eastAsia="zh-CN" w:bidi="ar-SA"/>
        </w:rPr>
        <w:t>、法定代表人身份证复印件或委托人身份证复印件（加盖单位公章）；</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4</w:t>
      </w:r>
      <w:r>
        <w:rPr>
          <w:rFonts w:hint="eastAsia" w:ascii="宋体" w:hAnsi="宋体" w:eastAsia="宋体" w:cs="宋体"/>
          <w:color w:val="auto"/>
          <w:kern w:val="0"/>
          <w:sz w:val="24"/>
          <w:szCs w:val="24"/>
          <w:lang w:val="en-US" w:eastAsia="zh-CN" w:bidi="ar-SA"/>
        </w:rPr>
        <w:t>、授权委托书</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5</w:t>
      </w:r>
      <w:r>
        <w:rPr>
          <w:rFonts w:hint="eastAsia" w:ascii="宋体" w:hAnsi="宋体" w:eastAsia="宋体" w:cs="宋体"/>
          <w:color w:val="auto"/>
          <w:kern w:val="0"/>
          <w:sz w:val="24"/>
          <w:szCs w:val="24"/>
          <w:lang w:val="en-US" w:eastAsia="zh-CN" w:bidi="ar-SA"/>
        </w:rPr>
        <w:t>、报价表</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、企业法人营业执照、企业资质证书、企业安全生产许可证；</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7</w:t>
      </w:r>
      <w:r>
        <w:rPr>
          <w:rFonts w:hint="eastAsia" w:ascii="宋体" w:hAnsi="宋体" w:eastAsia="宋体" w:cs="宋体"/>
          <w:color w:val="auto"/>
          <w:kern w:val="0"/>
          <w:sz w:val="24"/>
          <w:szCs w:val="24"/>
          <w:lang w:val="en-US" w:eastAsia="zh-CN" w:bidi="ar-SA"/>
        </w:rPr>
        <w:t>、本项目技术人员一览表及相关证件复印件；</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8</w:t>
      </w:r>
      <w:r>
        <w:rPr>
          <w:rFonts w:hint="eastAsia" w:ascii="宋体" w:hAnsi="宋体" w:eastAsia="宋体" w:cs="宋体"/>
          <w:color w:val="auto"/>
          <w:kern w:val="0"/>
          <w:sz w:val="24"/>
          <w:szCs w:val="24"/>
          <w:lang w:val="en-US" w:eastAsia="zh-CN" w:bidi="ar-SA"/>
        </w:rPr>
        <w:t>、投标人应附的其他材料。</w:t>
      </w:r>
    </w:p>
    <w:p>
      <w:pPr>
        <w:jc w:val="left"/>
        <w:rPr>
          <w:rFonts w:hint="eastAsia" w:ascii="宋体" w:hAnsi="宋体" w:eastAsia="宋体" w:cs="宋体"/>
          <w:color w:val="auto"/>
          <w:sz w:val="24"/>
          <w:szCs w:val="24"/>
          <w:lang w:eastAsia="zh-CN"/>
        </w:rPr>
      </w:pPr>
    </w:p>
    <w:p>
      <w:pPr>
        <w:jc w:val="both"/>
        <w:rPr>
          <w:rFonts w:hint="eastAsia" w:ascii="宋体" w:hAnsi="宋体" w:eastAsia="宋体" w:cs="宋体"/>
          <w:color w:val="auto"/>
          <w:sz w:val="24"/>
          <w:szCs w:val="24"/>
        </w:rPr>
      </w:pPr>
    </w:p>
    <w:p>
      <w:pPr>
        <w:pStyle w:val="3"/>
        <w:keepNext w:val="0"/>
        <w:keepLines w:val="0"/>
        <w:spacing w:line="400" w:lineRule="exact"/>
        <w:jc w:val="center"/>
        <w:rPr>
          <w:rFonts w:hint="eastAsia" w:ascii="宋体" w:hAnsi="宋体" w:eastAsia="宋体" w:cs="宋体"/>
          <w:color w:val="auto"/>
          <w:sz w:val="24"/>
          <w:szCs w:val="24"/>
        </w:rPr>
      </w:pPr>
    </w:p>
    <w:p>
      <w:pPr>
        <w:pStyle w:val="3"/>
        <w:keepNext w:val="0"/>
        <w:keepLines w:val="0"/>
        <w:spacing w:line="400" w:lineRule="exact"/>
        <w:jc w:val="both"/>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rPr>
      </w:pPr>
    </w:p>
    <w:p>
      <w:pPr>
        <w:pStyle w:val="3"/>
        <w:keepNext w:val="0"/>
        <w:keepLines w:val="0"/>
        <w:numPr>
          <w:ilvl w:val="0"/>
          <w:numId w:val="7"/>
        </w:numPr>
        <w:spacing w:line="400" w:lineRule="exact"/>
        <w:jc w:val="center"/>
        <w:rPr>
          <w:rFonts w:hint="eastAsia" w:ascii="黑体" w:hAnsi="黑体" w:eastAsia="黑体" w:cs="黑体"/>
          <w:b/>
          <w:bCs/>
          <w:color w:val="auto"/>
          <w:kern w:val="0"/>
          <w:sz w:val="44"/>
          <w:szCs w:val="44"/>
          <w:lang w:val="en-US" w:eastAsia="zh-CN" w:bidi="ar-SA"/>
        </w:rPr>
      </w:pPr>
      <w:r>
        <w:rPr>
          <w:rFonts w:hint="eastAsia" w:ascii="黑体" w:hAnsi="黑体" w:eastAsia="黑体" w:cs="黑体"/>
          <w:b/>
          <w:bCs/>
          <w:color w:val="auto"/>
          <w:kern w:val="0"/>
          <w:sz w:val="44"/>
          <w:szCs w:val="44"/>
          <w:lang w:val="en-US" w:eastAsia="zh-CN" w:bidi="ar-SA"/>
        </w:rPr>
        <w:t xml:space="preserve">  评标办法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3"/>
          <w:szCs w:val="23"/>
          <w:lang w:val="en-US" w:eastAsia="zh-CN"/>
        </w:rPr>
      </w:pPr>
      <w:r>
        <w:rPr>
          <w:rFonts w:hint="eastAsia" w:ascii="宋体" w:hAnsi="宋体" w:eastAsia="宋体" w:cs="宋体"/>
          <w:b/>
          <w:bCs/>
          <w:color w:val="auto"/>
          <w:kern w:val="0"/>
          <w:sz w:val="23"/>
          <w:szCs w:val="23"/>
          <w:lang w:val="en-US" w:eastAsia="zh-CN"/>
        </w:rPr>
        <w:t>1、</w:t>
      </w:r>
      <w:r>
        <w:rPr>
          <w:rFonts w:hint="eastAsia" w:ascii="宋体" w:hAnsi="宋体" w:eastAsia="宋体" w:cs="宋体"/>
          <w:b/>
          <w:bCs/>
          <w:color w:val="auto"/>
          <w:kern w:val="0"/>
          <w:sz w:val="23"/>
          <w:szCs w:val="23"/>
        </w:rPr>
        <w:t>分值构成</w:t>
      </w:r>
      <w:r>
        <w:rPr>
          <w:rFonts w:hint="eastAsia" w:ascii="宋体" w:hAnsi="宋体" w:eastAsia="宋体" w:cs="宋体"/>
          <w:b/>
          <w:bCs/>
          <w:color w:val="auto"/>
          <w:kern w:val="0"/>
          <w:sz w:val="23"/>
          <w:szCs w:val="23"/>
          <w:lang w:eastAsia="zh-CN"/>
        </w:rPr>
        <w:t>：</w:t>
      </w:r>
      <w:r>
        <w:rPr>
          <w:rFonts w:hint="eastAsia" w:ascii="宋体" w:hAnsi="宋体" w:eastAsia="宋体" w:cs="宋体"/>
          <w:color w:val="auto"/>
          <w:kern w:val="0"/>
          <w:sz w:val="23"/>
          <w:szCs w:val="23"/>
          <w:lang w:val="en-US" w:eastAsia="zh-CN"/>
        </w:rPr>
        <w:t>总分值</w:t>
      </w:r>
      <w:r>
        <w:rPr>
          <w:rFonts w:hint="eastAsia" w:ascii="宋体" w:hAnsi="宋体" w:eastAsia="宋体" w:cs="宋体"/>
          <w:color w:val="auto"/>
          <w:kern w:val="0"/>
          <w:sz w:val="23"/>
          <w:szCs w:val="23"/>
        </w:rPr>
        <w:t>100分</w:t>
      </w:r>
      <w:r>
        <w:rPr>
          <w:rFonts w:hint="eastAsia" w:ascii="宋体" w:hAnsi="宋体" w:eastAsia="宋体" w:cs="宋体"/>
          <w:color w:val="auto"/>
          <w:kern w:val="0"/>
          <w:sz w:val="23"/>
          <w:szCs w:val="23"/>
          <w:lang w:eastAsia="zh-CN"/>
        </w:rPr>
        <w:t>，</w:t>
      </w:r>
      <w:r>
        <w:rPr>
          <w:rFonts w:hint="eastAsia" w:ascii="宋体" w:hAnsi="宋体" w:eastAsia="宋体" w:cs="宋体"/>
          <w:color w:val="auto"/>
          <w:kern w:val="0"/>
          <w:sz w:val="23"/>
          <w:szCs w:val="23"/>
        </w:rPr>
        <w:t>投标报价</w:t>
      </w:r>
      <w:r>
        <w:rPr>
          <w:rFonts w:hint="eastAsia" w:ascii="宋体" w:hAnsi="宋体" w:eastAsia="宋体" w:cs="宋体"/>
          <w:color w:val="auto"/>
          <w:kern w:val="0"/>
          <w:sz w:val="23"/>
          <w:szCs w:val="23"/>
          <w:lang w:val="en-US" w:eastAsia="zh-CN"/>
        </w:rPr>
        <w:t>80</w:t>
      </w:r>
      <w:r>
        <w:rPr>
          <w:rFonts w:hint="eastAsia" w:ascii="宋体" w:hAnsi="宋体" w:eastAsia="宋体" w:cs="宋体"/>
          <w:color w:val="auto"/>
          <w:kern w:val="0"/>
          <w:sz w:val="23"/>
          <w:szCs w:val="23"/>
        </w:rPr>
        <w:t>分</w:t>
      </w:r>
      <w:r>
        <w:rPr>
          <w:rFonts w:hint="eastAsia" w:ascii="宋体" w:hAnsi="宋体" w:eastAsia="宋体" w:cs="宋体"/>
          <w:color w:val="auto"/>
          <w:kern w:val="0"/>
          <w:sz w:val="23"/>
          <w:szCs w:val="23"/>
          <w:lang w:val="en-US" w:eastAsia="zh-CN"/>
        </w:rPr>
        <w:t>，业绩8分，项目管理组织方案12分</w:t>
      </w:r>
      <w:r>
        <w:rPr>
          <w:rFonts w:hint="eastAsia" w:ascii="宋体" w:hAnsi="宋体" w:eastAsia="宋体" w:cs="宋体"/>
          <w:color w:val="auto"/>
          <w:kern w:val="0"/>
          <w:sz w:val="23"/>
          <w:szCs w:val="23"/>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3"/>
          <w:szCs w:val="23"/>
          <w:lang w:eastAsia="zh-CN"/>
        </w:rPr>
      </w:pPr>
      <w:r>
        <w:rPr>
          <w:rFonts w:hint="eastAsia" w:ascii="宋体" w:hAnsi="宋体" w:eastAsia="宋体" w:cs="宋体"/>
          <w:b/>
          <w:bCs/>
          <w:color w:val="auto"/>
          <w:kern w:val="0"/>
          <w:sz w:val="23"/>
          <w:szCs w:val="23"/>
          <w:lang w:val="en-US" w:eastAsia="zh-CN"/>
        </w:rPr>
        <w:t>2、</w:t>
      </w:r>
      <w:r>
        <w:rPr>
          <w:rFonts w:hint="eastAsia" w:ascii="宋体" w:hAnsi="宋体" w:eastAsia="宋体" w:cs="宋体"/>
          <w:b/>
          <w:bCs/>
          <w:color w:val="auto"/>
          <w:kern w:val="0"/>
          <w:sz w:val="23"/>
          <w:szCs w:val="23"/>
        </w:rPr>
        <w:t>评标基准值计算方法确定</w:t>
      </w:r>
      <w:r>
        <w:rPr>
          <w:rFonts w:hint="eastAsia" w:ascii="宋体" w:hAnsi="宋体" w:eastAsia="宋体" w:cs="宋体"/>
          <w:b/>
          <w:bCs/>
          <w:color w:val="auto"/>
          <w:kern w:val="0"/>
          <w:sz w:val="23"/>
          <w:szCs w:val="23"/>
          <w:lang w:eastAsia="zh-CN"/>
        </w:rPr>
        <w:t>：</w:t>
      </w:r>
      <w:r>
        <w:rPr>
          <w:rFonts w:hint="eastAsia" w:ascii="宋体" w:hAnsi="宋体" w:eastAsia="宋体" w:cs="宋体"/>
          <w:color w:val="auto"/>
          <w:kern w:val="0"/>
          <w:sz w:val="23"/>
          <w:szCs w:val="23"/>
        </w:rPr>
        <w:t>有效投标报价的</w:t>
      </w:r>
      <w:r>
        <w:rPr>
          <w:rFonts w:hint="eastAsia" w:ascii="宋体" w:hAnsi="宋体" w:eastAsia="宋体" w:cs="宋体"/>
          <w:color w:val="auto"/>
          <w:kern w:val="0"/>
          <w:sz w:val="23"/>
          <w:szCs w:val="23"/>
          <w:lang w:val="en-US" w:eastAsia="zh-CN"/>
        </w:rPr>
        <w:t>算术</w:t>
      </w:r>
      <w:r>
        <w:rPr>
          <w:rFonts w:hint="eastAsia" w:ascii="宋体" w:hAnsi="宋体" w:eastAsia="宋体" w:cs="宋体"/>
          <w:color w:val="auto"/>
          <w:kern w:val="0"/>
          <w:sz w:val="23"/>
          <w:szCs w:val="23"/>
        </w:rPr>
        <w:t>平均值</w:t>
      </w:r>
      <w:r>
        <w:rPr>
          <w:rFonts w:hint="eastAsia" w:ascii="宋体" w:hAnsi="宋体" w:eastAsia="宋体" w:cs="宋体"/>
          <w:color w:val="auto"/>
          <w:kern w:val="0"/>
          <w:sz w:val="23"/>
          <w:szCs w:val="23"/>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3"/>
          <w:szCs w:val="23"/>
        </w:rPr>
      </w:pPr>
      <w:r>
        <w:rPr>
          <w:rFonts w:hint="eastAsia" w:ascii="宋体" w:hAnsi="宋体" w:eastAsia="宋体" w:cs="宋体"/>
          <w:b/>
          <w:bCs/>
          <w:color w:val="auto"/>
          <w:kern w:val="0"/>
          <w:sz w:val="23"/>
          <w:szCs w:val="23"/>
          <w:lang w:val="en-US" w:eastAsia="zh-CN"/>
        </w:rPr>
        <w:t>3、</w:t>
      </w:r>
      <w:r>
        <w:rPr>
          <w:rFonts w:hint="eastAsia" w:ascii="宋体" w:hAnsi="宋体" w:eastAsia="宋体" w:cs="宋体"/>
          <w:b/>
          <w:bCs/>
          <w:color w:val="auto"/>
          <w:kern w:val="0"/>
          <w:sz w:val="23"/>
          <w:szCs w:val="23"/>
        </w:rPr>
        <w:t xml:space="preserve">评审标准 </w:t>
      </w:r>
      <w:r>
        <w:rPr>
          <w:rFonts w:hint="eastAsia" w:ascii="宋体" w:hAnsi="宋体" w:eastAsia="宋体" w:cs="宋体"/>
          <w:color w:val="auto"/>
          <w:kern w:val="0"/>
          <w:sz w:val="23"/>
          <w:szCs w:val="23"/>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3"/>
          <w:szCs w:val="23"/>
        </w:rPr>
      </w:pPr>
      <w:r>
        <w:rPr>
          <w:rFonts w:hint="eastAsia" w:ascii="宋体" w:hAnsi="宋体" w:eastAsia="宋体" w:cs="宋体"/>
          <w:color w:val="auto"/>
          <w:kern w:val="0"/>
          <w:sz w:val="23"/>
          <w:szCs w:val="23"/>
        </w:rPr>
        <w:t>1</w:t>
      </w:r>
      <w:r>
        <w:rPr>
          <w:rFonts w:hint="eastAsia" w:ascii="宋体" w:hAnsi="宋体" w:eastAsia="宋体" w:cs="宋体"/>
          <w:color w:val="auto"/>
          <w:kern w:val="0"/>
          <w:sz w:val="23"/>
          <w:szCs w:val="23"/>
          <w:lang w:val="en-US" w:eastAsia="zh-CN"/>
        </w:rPr>
        <w:t>.</w:t>
      </w:r>
      <w:r>
        <w:rPr>
          <w:rFonts w:hint="eastAsia" w:ascii="宋体" w:hAnsi="宋体" w:eastAsia="宋体" w:cs="宋体"/>
          <w:color w:val="auto"/>
          <w:kern w:val="0"/>
          <w:sz w:val="23"/>
          <w:szCs w:val="23"/>
        </w:rPr>
        <w:t>投标报价等于评标基准值的得</w:t>
      </w:r>
      <w:r>
        <w:rPr>
          <w:rFonts w:hint="eastAsia" w:ascii="宋体" w:hAnsi="宋体" w:eastAsia="宋体" w:cs="宋体"/>
          <w:color w:val="auto"/>
          <w:kern w:val="0"/>
          <w:sz w:val="23"/>
          <w:szCs w:val="23"/>
          <w:lang w:val="en-US" w:eastAsia="zh-CN"/>
        </w:rPr>
        <w:t>80</w:t>
      </w:r>
      <w:r>
        <w:rPr>
          <w:rFonts w:hint="eastAsia" w:ascii="宋体" w:hAnsi="宋体" w:eastAsia="宋体" w:cs="宋体"/>
          <w:color w:val="auto"/>
          <w:kern w:val="0"/>
          <w:sz w:val="23"/>
          <w:szCs w:val="23"/>
        </w:rPr>
        <w:t>分，每低于评标基准值1%的扣</w:t>
      </w:r>
      <w:r>
        <w:rPr>
          <w:rFonts w:hint="eastAsia" w:ascii="宋体" w:hAnsi="宋体" w:eastAsia="宋体" w:cs="宋体"/>
          <w:color w:val="auto"/>
          <w:kern w:val="0"/>
          <w:sz w:val="23"/>
          <w:szCs w:val="23"/>
          <w:lang w:val="en-US" w:eastAsia="zh-CN"/>
        </w:rPr>
        <w:t>1</w:t>
      </w:r>
      <w:r>
        <w:rPr>
          <w:rFonts w:hint="eastAsia" w:ascii="宋体" w:hAnsi="宋体" w:eastAsia="宋体" w:cs="宋体"/>
          <w:color w:val="auto"/>
          <w:kern w:val="0"/>
          <w:sz w:val="23"/>
          <w:szCs w:val="23"/>
        </w:rPr>
        <w:t>分</w:t>
      </w:r>
      <w:r>
        <w:rPr>
          <w:rFonts w:hint="eastAsia" w:ascii="宋体" w:hAnsi="宋体" w:eastAsia="宋体" w:cs="宋体"/>
          <w:color w:val="auto"/>
          <w:kern w:val="0"/>
          <w:sz w:val="23"/>
          <w:szCs w:val="23"/>
          <w:lang w:eastAsia="zh-CN"/>
        </w:rPr>
        <w:t>，</w:t>
      </w:r>
      <w:r>
        <w:rPr>
          <w:rFonts w:hint="eastAsia" w:ascii="宋体" w:hAnsi="宋体" w:eastAsia="宋体" w:cs="宋体"/>
          <w:color w:val="auto"/>
          <w:kern w:val="0"/>
          <w:sz w:val="23"/>
          <w:szCs w:val="23"/>
        </w:rPr>
        <w:t>每高于评标基准值1%的扣</w:t>
      </w:r>
      <w:r>
        <w:rPr>
          <w:rFonts w:hint="eastAsia" w:ascii="宋体" w:hAnsi="宋体" w:eastAsia="宋体" w:cs="宋体"/>
          <w:color w:val="auto"/>
          <w:kern w:val="0"/>
          <w:sz w:val="23"/>
          <w:szCs w:val="23"/>
          <w:lang w:val="en-US" w:eastAsia="zh-CN"/>
        </w:rPr>
        <w:t>2</w:t>
      </w:r>
      <w:r>
        <w:rPr>
          <w:rFonts w:hint="eastAsia" w:ascii="宋体" w:hAnsi="宋体" w:eastAsia="宋体" w:cs="宋体"/>
          <w:color w:val="auto"/>
          <w:kern w:val="0"/>
          <w:sz w:val="23"/>
          <w:szCs w:val="23"/>
        </w:rPr>
        <w:t>分</w:t>
      </w:r>
      <w:r>
        <w:rPr>
          <w:rFonts w:hint="eastAsia" w:ascii="宋体" w:hAnsi="宋体" w:eastAsia="宋体" w:cs="宋体"/>
          <w:color w:val="auto"/>
          <w:kern w:val="0"/>
          <w:sz w:val="23"/>
          <w:szCs w:val="23"/>
          <w:lang w:eastAsia="zh-CN"/>
        </w:rPr>
        <w:t>，</w:t>
      </w:r>
      <w:r>
        <w:rPr>
          <w:rFonts w:hint="eastAsia" w:ascii="宋体" w:hAnsi="宋体" w:eastAsia="宋体" w:cs="宋体"/>
          <w:color w:val="auto"/>
          <w:kern w:val="0"/>
          <w:sz w:val="23"/>
          <w:szCs w:val="23"/>
        </w:rPr>
        <w:t>扣完为止。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3"/>
          <w:szCs w:val="23"/>
        </w:rPr>
      </w:pPr>
      <w:r>
        <w:rPr>
          <w:rFonts w:hint="eastAsia" w:ascii="宋体" w:hAnsi="宋体" w:eastAsia="宋体" w:cs="宋体"/>
          <w:b/>
          <w:bCs/>
          <w:color w:val="auto"/>
          <w:kern w:val="0"/>
          <w:sz w:val="23"/>
          <w:szCs w:val="23"/>
        </w:rPr>
        <w:t>投标报价分值=</w:t>
      </w:r>
      <w:r>
        <w:rPr>
          <w:rFonts w:hint="eastAsia" w:ascii="宋体" w:hAnsi="宋体" w:eastAsia="宋体" w:cs="宋体"/>
          <w:b/>
          <w:bCs/>
          <w:color w:val="auto"/>
          <w:kern w:val="0"/>
          <w:sz w:val="23"/>
          <w:szCs w:val="23"/>
          <w:lang w:val="en-US" w:eastAsia="zh-CN"/>
        </w:rPr>
        <w:t>80</w:t>
      </w:r>
      <w:r>
        <w:rPr>
          <w:rFonts w:hint="eastAsia" w:ascii="宋体" w:hAnsi="宋体" w:eastAsia="宋体" w:cs="宋体"/>
          <w:b/>
          <w:bCs/>
          <w:color w:val="auto"/>
          <w:kern w:val="0"/>
          <w:sz w:val="23"/>
          <w:szCs w:val="23"/>
        </w:rPr>
        <w:t>-[|(投标报价-评标基准值)|/评标基准值*100]*X（X 为上述对应数值）。</w:t>
      </w:r>
    </w:p>
    <w:p>
      <w:pPr>
        <w:pStyle w:val="186"/>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3"/>
          <w:szCs w:val="23"/>
          <w:lang w:val="en-US" w:eastAsia="zh-CN"/>
        </w:rPr>
      </w:pPr>
      <w:r>
        <w:rPr>
          <w:rFonts w:hint="eastAsia" w:ascii="宋体" w:hAnsi="宋体" w:cs="宋体"/>
          <w:b/>
          <w:bCs/>
          <w:color w:val="auto"/>
          <w:kern w:val="0"/>
          <w:sz w:val="23"/>
          <w:szCs w:val="23"/>
          <w:lang w:val="en-US" w:eastAsia="zh-CN" w:bidi="ar-SA"/>
        </w:rPr>
        <w:t>企业</w:t>
      </w:r>
      <w:r>
        <w:rPr>
          <w:rFonts w:hint="eastAsia" w:ascii="宋体" w:hAnsi="宋体" w:eastAsia="宋体" w:cs="宋体"/>
          <w:b/>
          <w:bCs/>
          <w:sz w:val="23"/>
          <w:szCs w:val="23"/>
          <w:lang w:val="en-US" w:eastAsia="zh-CN"/>
        </w:rPr>
        <w:t>业绩</w:t>
      </w:r>
      <w:r>
        <w:rPr>
          <w:rFonts w:hint="eastAsia" w:ascii="宋体" w:hAnsi="宋体" w:cs="宋体"/>
          <w:b/>
          <w:bCs/>
          <w:sz w:val="23"/>
          <w:szCs w:val="23"/>
          <w:lang w:val="en-US" w:eastAsia="zh-CN"/>
        </w:rPr>
        <w:t>：</w:t>
      </w:r>
      <w:r>
        <w:rPr>
          <w:rFonts w:hint="eastAsia" w:ascii="宋体" w:hAnsi="宋体" w:cs="宋体"/>
          <w:sz w:val="23"/>
          <w:szCs w:val="23"/>
          <w:lang w:val="en-US" w:eastAsia="zh-CN"/>
        </w:rPr>
        <w:t>近五年（</w:t>
      </w:r>
      <w:r>
        <w:rPr>
          <w:rFonts w:hint="eastAsia" w:ascii="宋体" w:hAnsi="宋体" w:eastAsia="宋体" w:cs="宋体"/>
          <w:sz w:val="23"/>
          <w:szCs w:val="23"/>
        </w:rPr>
        <w:t>自 201</w:t>
      </w:r>
      <w:r>
        <w:rPr>
          <w:rFonts w:hint="eastAsia" w:ascii="宋体" w:hAnsi="宋体" w:cs="宋体"/>
          <w:sz w:val="23"/>
          <w:szCs w:val="23"/>
          <w:lang w:val="en-US" w:eastAsia="zh-CN"/>
        </w:rPr>
        <w:t>9</w:t>
      </w:r>
      <w:r>
        <w:rPr>
          <w:rFonts w:hint="eastAsia" w:ascii="宋体" w:hAnsi="宋体" w:eastAsia="宋体" w:cs="宋体"/>
          <w:sz w:val="23"/>
          <w:szCs w:val="23"/>
        </w:rPr>
        <w:t xml:space="preserve"> 年 1 月 1 日以来</w:t>
      </w:r>
      <w:r>
        <w:rPr>
          <w:rFonts w:hint="eastAsia" w:ascii="宋体" w:hAnsi="宋体" w:cs="宋体"/>
          <w:sz w:val="23"/>
          <w:szCs w:val="23"/>
          <w:lang w:eastAsia="zh-CN"/>
        </w:rPr>
        <w:t>，</w:t>
      </w:r>
      <w:r>
        <w:rPr>
          <w:rFonts w:hint="eastAsia" w:ascii="宋体" w:hAnsi="宋体" w:eastAsia="宋体" w:cs="宋体"/>
          <w:sz w:val="23"/>
          <w:szCs w:val="23"/>
          <w:lang w:val="en-US" w:eastAsia="zh-CN"/>
        </w:rPr>
        <w:t>以竣工验收报告验收时间为准</w:t>
      </w:r>
      <w:r>
        <w:rPr>
          <w:rFonts w:hint="eastAsia" w:ascii="宋体" w:hAnsi="宋体" w:cs="宋体"/>
          <w:sz w:val="23"/>
          <w:szCs w:val="23"/>
          <w:lang w:val="en-US" w:eastAsia="zh-CN"/>
        </w:rPr>
        <w:t>）内每提供</w:t>
      </w:r>
      <w:r>
        <w:rPr>
          <w:rFonts w:hint="eastAsia" w:ascii="宋体" w:hAnsi="宋体" w:eastAsia="宋体" w:cs="宋体"/>
          <w:sz w:val="23"/>
          <w:szCs w:val="23"/>
        </w:rPr>
        <w:t>完成单项合同</w:t>
      </w:r>
      <w:r>
        <w:rPr>
          <w:rFonts w:hint="eastAsia" w:ascii="宋体" w:hAnsi="宋体" w:cs="宋体"/>
          <w:sz w:val="23"/>
          <w:szCs w:val="23"/>
          <w:lang w:val="en-US" w:eastAsia="zh-CN"/>
        </w:rPr>
        <w:t>800万元</w:t>
      </w:r>
      <w:r>
        <w:rPr>
          <w:rFonts w:hint="eastAsia" w:ascii="宋体" w:hAnsi="宋体" w:eastAsia="宋体" w:cs="宋体"/>
          <w:sz w:val="23"/>
          <w:szCs w:val="23"/>
        </w:rPr>
        <w:t>以上的</w:t>
      </w:r>
      <w:r>
        <w:rPr>
          <w:rFonts w:hint="eastAsia" w:ascii="宋体" w:hAnsi="宋体" w:cs="宋体"/>
          <w:sz w:val="23"/>
          <w:szCs w:val="23"/>
          <w:lang w:val="en-US" w:eastAsia="zh-CN"/>
        </w:rPr>
        <w:t>亮化工程</w:t>
      </w:r>
      <w:r>
        <w:rPr>
          <w:rFonts w:hint="eastAsia" w:ascii="宋体" w:hAnsi="宋体" w:eastAsia="宋体" w:cs="宋体"/>
          <w:sz w:val="23"/>
          <w:szCs w:val="23"/>
          <w:lang w:val="en-US" w:eastAsia="zh-CN"/>
        </w:rPr>
        <w:t>施工业绩得</w:t>
      </w:r>
      <w:r>
        <w:rPr>
          <w:rFonts w:hint="eastAsia" w:ascii="宋体" w:hAnsi="宋体" w:cs="宋体"/>
          <w:sz w:val="23"/>
          <w:szCs w:val="23"/>
          <w:lang w:val="en-US" w:eastAsia="zh-CN"/>
        </w:rPr>
        <w:t>4</w:t>
      </w:r>
      <w:r>
        <w:rPr>
          <w:rFonts w:hint="eastAsia" w:ascii="宋体" w:hAnsi="宋体" w:eastAsia="宋体" w:cs="宋体"/>
          <w:sz w:val="23"/>
          <w:szCs w:val="23"/>
          <w:lang w:val="en-US" w:eastAsia="zh-CN"/>
        </w:rPr>
        <w:t>分，满分</w:t>
      </w:r>
      <w:r>
        <w:rPr>
          <w:rFonts w:hint="eastAsia" w:ascii="宋体" w:hAnsi="宋体" w:cs="宋体"/>
          <w:sz w:val="23"/>
          <w:szCs w:val="23"/>
          <w:lang w:val="en-US" w:eastAsia="zh-CN"/>
        </w:rPr>
        <w:t>8</w:t>
      </w:r>
      <w:r>
        <w:rPr>
          <w:rFonts w:hint="eastAsia" w:ascii="宋体" w:hAnsi="宋体" w:eastAsia="宋体" w:cs="宋体"/>
          <w:sz w:val="23"/>
          <w:szCs w:val="23"/>
          <w:lang w:val="en-US" w:eastAsia="zh-CN"/>
        </w:rPr>
        <w:t>分，</w:t>
      </w:r>
      <w:r>
        <w:rPr>
          <w:rFonts w:hint="eastAsia" w:ascii="宋体" w:hAnsi="宋体" w:eastAsia="宋体" w:cs="宋体"/>
          <w:b/>
          <w:bCs/>
          <w:sz w:val="23"/>
          <w:szCs w:val="23"/>
          <w:lang w:val="en-US" w:eastAsia="zh-CN"/>
        </w:rPr>
        <w:t>需提供合同复印件及竣工验收报告复印件</w:t>
      </w:r>
      <w:r>
        <w:rPr>
          <w:rFonts w:hint="eastAsia" w:ascii="宋体" w:hAnsi="宋体" w:eastAsia="宋体" w:cs="宋体"/>
          <w:b/>
          <w:bCs/>
          <w:color w:val="auto"/>
          <w:sz w:val="23"/>
          <w:szCs w:val="23"/>
          <w:lang w:val="en-US" w:eastAsia="zh-CN"/>
        </w:rPr>
        <w:t>。</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color w:val="000000"/>
          <w:sz w:val="24"/>
          <w:szCs w:val="24"/>
          <w:lang w:val="en-US"/>
        </w:rPr>
      </w:pPr>
      <w:r>
        <w:rPr>
          <w:rFonts w:hint="eastAsia" w:ascii="宋体" w:hAnsi="宋体" w:eastAsia="宋体" w:cs="宋体"/>
          <w:b w:val="0"/>
          <w:bCs w:val="0"/>
          <w:color w:val="auto"/>
          <w:kern w:val="0"/>
          <w:sz w:val="24"/>
          <w:szCs w:val="24"/>
          <w:lang w:val="en-US" w:eastAsia="zh-CN" w:bidi="ar-SA"/>
        </w:rPr>
        <w:t>3.项目管理组织方案</w:t>
      </w:r>
      <w:r>
        <w:rPr>
          <w:rFonts w:hint="eastAsia" w:ascii="宋体" w:hAnsi="宋体" w:cs="宋体"/>
          <w:b w:val="0"/>
          <w:bCs w:val="0"/>
          <w:color w:val="auto"/>
          <w:kern w:val="0"/>
          <w:sz w:val="24"/>
          <w:szCs w:val="24"/>
          <w:lang w:val="en-US" w:eastAsia="zh-CN" w:bidi="ar-SA"/>
        </w:rPr>
        <w:t>，满分12分。</w:t>
      </w:r>
    </w:p>
    <w:tbl>
      <w:tblPr>
        <w:tblStyle w:val="45"/>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2027"/>
        <w:gridCol w:w="919"/>
        <w:gridCol w:w="4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1737" w:type="dxa"/>
            <w:noWrap w:val="0"/>
            <w:vAlign w:val="top"/>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评审因素</w:t>
            </w:r>
          </w:p>
        </w:tc>
        <w:tc>
          <w:tcPr>
            <w:tcW w:w="2027" w:type="dxa"/>
            <w:noWrap w:val="0"/>
            <w:vAlign w:val="top"/>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评审内容</w:t>
            </w:r>
          </w:p>
        </w:tc>
        <w:tc>
          <w:tcPr>
            <w:tcW w:w="919" w:type="dxa"/>
            <w:noWrap w:val="0"/>
            <w:vAlign w:val="top"/>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得分</w:t>
            </w:r>
          </w:p>
        </w:tc>
        <w:tc>
          <w:tcPr>
            <w:tcW w:w="4041" w:type="dxa"/>
            <w:noWrap w:val="0"/>
            <w:vAlign w:val="top"/>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vMerge w:val="restart"/>
            <w:noWrap w:val="0"/>
            <w:vAlign w:val="top"/>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p>
            <w:pPr>
              <w:bidi w:val="0"/>
              <w:spacing w:line="360" w:lineRule="auto"/>
              <w:jc w:val="center"/>
              <w:rPr>
                <w:rFonts w:hint="eastAsia" w:ascii="宋体" w:hAnsi="宋体" w:eastAsia="宋体" w:cs="宋体"/>
                <w:sz w:val="21"/>
                <w:szCs w:val="21"/>
                <w:lang w:val="en-US" w:eastAsia="zh-CN"/>
              </w:rPr>
            </w:pPr>
          </w:p>
          <w:p>
            <w:pPr>
              <w:keepNext w:val="0"/>
              <w:keepLines w:val="0"/>
              <w:widowControl/>
              <w:suppressLineNumbers w:val="0"/>
              <w:spacing w:line="360" w:lineRule="auto"/>
              <w:jc w:val="both"/>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项目管理组织方</w:t>
            </w:r>
          </w:p>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案（≤12分）</w:t>
            </w:r>
          </w:p>
          <w:p>
            <w:pPr>
              <w:bidi w:val="0"/>
              <w:spacing w:line="360" w:lineRule="auto"/>
              <w:jc w:val="center"/>
              <w:rPr>
                <w:rFonts w:hint="eastAsia" w:ascii="宋体" w:hAnsi="宋体" w:eastAsia="宋体" w:cs="宋体"/>
                <w:sz w:val="21"/>
                <w:szCs w:val="21"/>
                <w:lang w:val="en-US" w:eastAsia="zh-CN"/>
              </w:rPr>
            </w:pPr>
          </w:p>
        </w:tc>
        <w:tc>
          <w:tcPr>
            <w:tcW w:w="2027"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总体概述</w:t>
            </w:r>
          </w:p>
        </w:tc>
        <w:tc>
          <w:tcPr>
            <w:tcW w:w="91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3.0分</w:t>
            </w:r>
          </w:p>
        </w:tc>
        <w:tc>
          <w:tcPr>
            <w:tcW w:w="4041" w:type="dxa"/>
            <w:noWrap w:val="0"/>
            <w:vAlign w:val="top"/>
          </w:tcPr>
          <w:p>
            <w:pPr>
              <w:keepNext w:val="0"/>
              <w:keepLines w:val="0"/>
              <w:widowControl/>
              <w:suppressLineNumbers w:val="0"/>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对工程总承包的总体设想、组织形式、各项管理目标 及控制措施、施工实施计划、设计与施工的协调措施 等内容进行评分。</w:t>
            </w:r>
            <w:r>
              <w:rPr>
                <w:rFonts w:hint="eastAsia" w:ascii="宋体" w:hAnsi="宋体" w:eastAsia="宋体" w:cs="宋体"/>
                <w:b/>
                <w:bCs/>
                <w:sz w:val="21"/>
                <w:szCs w:val="21"/>
              </w:rPr>
              <w:t>优秀的得</w:t>
            </w:r>
            <w:r>
              <w:rPr>
                <w:rFonts w:hint="eastAsia" w:ascii="宋体" w:hAnsi="宋体" w:eastAsia="宋体" w:cs="宋体"/>
                <w:b/>
                <w:bCs/>
                <w:sz w:val="21"/>
                <w:szCs w:val="21"/>
                <w:lang w:val="en-US" w:eastAsia="zh-CN"/>
              </w:rPr>
              <w:t>2.0-3.0</w:t>
            </w:r>
            <w:r>
              <w:rPr>
                <w:rFonts w:hint="eastAsia" w:ascii="宋体" w:hAnsi="宋体" w:eastAsia="宋体" w:cs="宋体"/>
                <w:b/>
                <w:bCs/>
                <w:sz w:val="21"/>
                <w:szCs w:val="21"/>
              </w:rPr>
              <w:t>分，良好的得</w:t>
            </w:r>
            <w:r>
              <w:rPr>
                <w:rFonts w:hint="eastAsia" w:ascii="宋体" w:hAnsi="宋体" w:eastAsia="宋体" w:cs="宋体"/>
                <w:b/>
                <w:bCs/>
                <w:sz w:val="21"/>
                <w:szCs w:val="21"/>
                <w:lang w:val="en-US" w:eastAsia="zh-CN"/>
              </w:rPr>
              <w:t>1.0-1.9</w:t>
            </w:r>
            <w:r>
              <w:rPr>
                <w:rFonts w:hint="eastAsia" w:ascii="宋体" w:hAnsi="宋体" w:eastAsia="宋体" w:cs="宋体"/>
                <w:b/>
                <w:bCs/>
                <w:sz w:val="21"/>
                <w:szCs w:val="21"/>
              </w:rPr>
              <w:t>分，一般的得</w:t>
            </w:r>
            <w:r>
              <w:rPr>
                <w:rFonts w:hint="eastAsia" w:ascii="宋体" w:hAnsi="宋体" w:eastAsia="宋体" w:cs="宋体"/>
                <w:b/>
                <w:bCs/>
                <w:sz w:val="21"/>
                <w:szCs w:val="21"/>
                <w:lang w:val="en-US" w:eastAsia="zh-CN"/>
              </w:rPr>
              <w:t>0.1-0.9</w:t>
            </w:r>
            <w:r>
              <w:rPr>
                <w:rFonts w:hint="eastAsia" w:ascii="宋体" w:hAnsi="宋体" w:eastAsia="宋体" w:cs="宋体"/>
                <w:b/>
                <w:bCs/>
                <w:sz w:val="21"/>
                <w:szCs w:val="21"/>
              </w:rPr>
              <w:t>分，差和未提供的不得分。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vMerge w:val="continue"/>
            <w:noWrap w:val="0"/>
            <w:vAlign w:val="top"/>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noWrap w:val="0"/>
            <w:vAlign w:val="top"/>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施工管理方案</w:t>
            </w:r>
          </w:p>
        </w:tc>
        <w:tc>
          <w:tcPr>
            <w:tcW w:w="919" w:type="dxa"/>
            <w:noWrap w:val="0"/>
            <w:vAlign w:val="top"/>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3.0分</w:t>
            </w:r>
          </w:p>
        </w:tc>
        <w:tc>
          <w:tcPr>
            <w:tcW w:w="4041" w:type="dxa"/>
            <w:noWrap w:val="0"/>
            <w:vAlign w:val="top"/>
          </w:tcPr>
          <w:p>
            <w:pPr>
              <w:keepNext w:val="0"/>
              <w:keepLines w:val="0"/>
              <w:widowControl/>
              <w:suppressLineNumbers w:val="0"/>
              <w:spacing w:line="24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对施工执行计划、施工进度控制、施工费用控制、施工质量控制、施工安全管理、施工现场管理、施工变更管理等内容进行评分。</w:t>
            </w:r>
          </w:p>
          <w:p>
            <w:pPr>
              <w:keepNext w:val="0"/>
              <w:keepLines w:val="0"/>
              <w:widowControl/>
              <w:suppressLineNumbers w:val="0"/>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优秀的得</w:t>
            </w:r>
            <w:r>
              <w:rPr>
                <w:rFonts w:hint="eastAsia" w:ascii="宋体" w:hAnsi="宋体" w:eastAsia="宋体" w:cs="宋体"/>
                <w:b/>
                <w:bCs/>
                <w:sz w:val="21"/>
                <w:szCs w:val="21"/>
                <w:lang w:val="en-US" w:eastAsia="zh-CN"/>
              </w:rPr>
              <w:t>2.0-3.0</w:t>
            </w:r>
            <w:r>
              <w:rPr>
                <w:rFonts w:hint="eastAsia" w:ascii="宋体" w:hAnsi="宋体" w:eastAsia="宋体" w:cs="宋体"/>
                <w:b/>
                <w:bCs/>
                <w:sz w:val="21"/>
                <w:szCs w:val="21"/>
              </w:rPr>
              <w:t>分，良好的得</w:t>
            </w:r>
            <w:r>
              <w:rPr>
                <w:rFonts w:hint="eastAsia" w:ascii="宋体" w:hAnsi="宋体" w:eastAsia="宋体" w:cs="宋体"/>
                <w:b/>
                <w:bCs/>
                <w:sz w:val="21"/>
                <w:szCs w:val="21"/>
                <w:lang w:val="en-US" w:eastAsia="zh-CN"/>
              </w:rPr>
              <w:t>1.0-1.9</w:t>
            </w:r>
            <w:r>
              <w:rPr>
                <w:rFonts w:hint="eastAsia" w:ascii="宋体" w:hAnsi="宋体" w:eastAsia="宋体" w:cs="宋体"/>
                <w:b/>
                <w:bCs/>
                <w:sz w:val="21"/>
                <w:szCs w:val="21"/>
              </w:rPr>
              <w:t>分，一般的得</w:t>
            </w:r>
            <w:r>
              <w:rPr>
                <w:rFonts w:hint="eastAsia" w:ascii="宋体" w:hAnsi="宋体" w:eastAsia="宋体" w:cs="宋体"/>
                <w:b/>
                <w:bCs/>
                <w:sz w:val="21"/>
                <w:szCs w:val="21"/>
                <w:lang w:val="en-US" w:eastAsia="zh-CN"/>
              </w:rPr>
              <w:t>0.1-0.9</w:t>
            </w:r>
            <w:r>
              <w:rPr>
                <w:rFonts w:hint="eastAsia" w:ascii="宋体" w:hAnsi="宋体" w:eastAsia="宋体" w:cs="宋体"/>
                <w:b/>
                <w:bCs/>
                <w:sz w:val="21"/>
                <w:szCs w:val="21"/>
              </w:rPr>
              <w:t>分，差和未提供的不得分。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37" w:type="dxa"/>
            <w:vMerge w:val="continue"/>
            <w:noWrap w:val="0"/>
            <w:vAlign w:val="top"/>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noWrap w:val="0"/>
            <w:vAlign w:val="top"/>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施工的重点难点</w:t>
            </w:r>
          </w:p>
        </w:tc>
        <w:tc>
          <w:tcPr>
            <w:tcW w:w="919" w:type="dxa"/>
            <w:noWrap w:val="0"/>
            <w:vAlign w:val="top"/>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3.0分</w:t>
            </w:r>
          </w:p>
        </w:tc>
        <w:tc>
          <w:tcPr>
            <w:tcW w:w="4041" w:type="dxa"/>
            <w:noWrap w:val="0"/>
            <w:vAlign w:val="top"/>
          </w:tcPr>
          <w:p>
            <w:pPr>
              <w:keepNext w:val="0"/>
              <w:keepLines w:val="0"/>
              <w:widowControl/>
              <w:suppressLineNumbers w:val="0"/>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对关键施工技术、工艺及工程项目实施的重点、难点和解决方案等内容进行评分。</w:t>
            </w:r>
            <w:r>
              <w:rPr>
                <w:rFonts w:hint="eastAsia" w:ascii="宋体" w:hAnsi="宋体" w:eastAsia="宋体" w:cs="宋体"/>
                <w:b/>
                <w:bCs/>
                <w:sz w:val="21"/>
                <w:szCs w:val="21"/>
              </w:rPr>
              <w:t>优秀的得</w:t>
            </w:r>
            <w:r>
              <w:rPr>
                <w:rFonts w:hint="eastAsia" w:ascii="宋体" w:hAnsi="宋体" w:eastAsia="宋体" w:cs="宋体"/>
                <w:b/>
                <w:bCs/>
                <w:sz w:val="21"/>
                <w:szCs w:val="21"/>
                <w:lang w:val="en-US" w:eastAsia="zh-CN"/>
              </w:rPr>
              <w:t>2.0-3.0</w:t>
            </w:r>
            <w:r>
              <w:rPr>
                <w:rFonts w:hint="eastAsia" w:ascii="宋体" w:hAnsi="宋体" w:eastAsia="宋体" w:cs="宋体"/>
                <w:b/>
                <w:bCs/>
                <w:sz w:val="21"/>
                <w:szCs w:val="21"/>
              </w:rPr>
              <w:t>分，良好的得</w:t>
            </w:r>
            <w:r>
              <w:rPr>
                <w:rFonts w:hint="eastAsia" w:ascii="宋体" w:hAnsi="宋体" w:eastAsia="宋体" w:cs="宋体"/>
                <w:b/>
                <w:bCs/>
                <w:sz w:val="21"/>
                <w:szCs w:val="21"/>
                <w:lang w:val="en-US" w:eastAsia="zh-CN"/>
              </w:rPr>
              <w:t>1.0-1.9</w:t>
            </w:r>
            <w:r>
              <w:rPr>
                <w:rFonts w:hint="eastAsia" w:ascii="宋体" w:hAnsi="宋体" w:eastAsia="宋体" w:cs="宋体"/>
                <w:b/>
                <w:bCs/>
                <w:sz w:val="21"/>
                <w:szCs w:val="21"/>
              </w:rPr>
              <w:t>分，一般的得</w:t>
            </w:r>
            <w:r>
              <w:rPr>
                <w:rFonts w:hint="eastAsia" w:ascii="宋体" w:hAnsi="宋体" w:eastAsia="宋体" w:cs="宋体"/>
                <w:b/>
                <w:bCs/>
                <w:sz w:val="21"/>
                <w:szCs w:val="21"/>
                <w:lang w:val="en-US" w:eastAsia="zh-CN"/>
              </w:rPr>
              <w:t>0.1-0.9</w:t>
            </w:r>
            <w:r>
              <w:rPr>
                <w:rFonts w:hint="eastAsia" w:ascii="宋体" w:hAnsi="宋体" w:eastAsia="宋体" w:cs="宋体"/>
                <w:b/>
                <w:bCs/>
                <w:sz w:val="21"/>
                <w:szCs w:val="21"/>
              </w:rPr>
              <w:t>分，差和未提供的不得分。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737" w:type="dxa"/>
            <w:vMerge w:val="continue"/>
            <w:noWrap w:val="0"/>
            <w:vAlign w:val="top"/>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noWrap w:val="0"/>
            <w:vAlign w:val="top"/>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施工资源投入计划</w:t>
            </w:r>
          </w:p>
        </w:tc>
        <w:tc>
          <w:tcPr>
            <w:tcW w:w="919" w:type="dxa"/>
            <w:noWrap w:val="0"/>
            <w:vAlign w:val="top"/>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1.5分</w:t>
            </w:r>
          </w:p>
        </w:tc>
        <w:tc>
          <w:tcPr>
            <w:tcW w:w="404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对劳动力、机械设备和材料投入计划等内容进行评分。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优秀的得</w:t>
            </w:r>
            <w:r>
              <w:rPr>
                <w:rFonts w:hint="eastAsia" w:ascii="宋体" w:hAnsi="宋体" w:eastAsia="宋体" w:cs="宋体"/>
                <w:b/>
                <w:bCs/>
                <w:sz w:val="21"/>
                <w:szCs w:val="21"/>
                <w:lang w:val="en-US" w:eastAsia="zh-CN"/>
              </w:rPr>
              <w:t>1.0-1.5</w:t>
            </w:r>
            <w:r>
              <w:rPr>
                <w:rFonts w:hint="eastAsia" w:ascii="宋体" w:hAnsi="宋体" w:eastAsia="宋体" w:cs="宋体"/>
                <w:b/>
                <w:bCs/>
                <w:sz w:val="21"/>
                <w:szCs w:val="21"/>
              </w:rPr>
              <w:t>分，良好的得</w:t>
            </w:r>
            <w:r>
              <w:rPr>
                <w:rFonts w:hint="eastAsia" w:ascii="宋体" w:hAnsi="宋体" w:eastAsia="宋体" w:cs="宋体"/>
                <w:b/>
                <w:bCs/>
                <w:sz w:val="21"/>
                <w:szCs w:val="21"/>
                <w:lang w:val="en-US" w:eastAsia="zh-CN"/>
              </w:rPr>
              <w:t>0.6-0.9</w:t>
            </w:r>
            <w:r>
              <w:rPr>
                <w:rFonts w:hint="eastAsia" w:ascii="宋体" w:hAnsi="宋体" w:eastAsia="宋体" w:cs="宋体"/>
                <w:b/>
                <w:bCs/>
                <w:sz w:val="21"/>
                <w:szCs w:val="21"/>
              </w:rPr>
              <w:t>分，一般的得</w:t>
            </w:r>
            <w:r>
              <w:rPr>
                <w:rFonts w:hint="eastAsia" w:ascii="宋体" w:hAnsi="宋体" w:eastAsia="宋体" w:cs="宋体"/>
                <w:b/>
                <w:bCs/>
                <w:sz w:val="21"/>
                <w:szCs w:val="21"/>
                <w:lang w:val="en-US" w:eastAsia="zh-CN"/>
              </w:rPr>
              <w:t>0.1-</w:t>
            </w:r>
            <w:r>
              <w:rPr>
                <w:rFonts w:hint="eastAsia" w:ascii="宋体" w:hAnsi="宋体" w:eastAsia="宋体" w:cs="宋体"/>
                <w:b/>
                <w:bCs/>
                <w:sz w:val="21"/>
                <w:szCs w:val="21"/>
              </w:rPr>
              <w:t>0.</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分，差和未提供的不得分。</w:t>
            </w:r>
            <w:r>
              <w:rPr>
                <w:rFonts w:hint="eastAsia" w:ascii="宋体" w:hAnsi="宋体" w:eastAsia="宋体" w:cs="宋体"/>
                <w:b/>
                <w:bCs/>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exact"/>
        </w:trPr>
        <w:tc>
          <w:tcPr>
            <w:tcW w:w="1737" w:type="dxa"/>
            <w:vMerge w:val="continue"/>
            <w:noWrap w:val="0"/>
            <w:vAlign w:val="top"/>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noWrap w:val="0"/>
            <w:vAlign w:val="top"/>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新技术、新产品、新工艺、新材料</w:t>
            </w:r>
          </w:p>
        </w:tc>
        <w:tc>
          <w:tcPr>
            <w:tcW w:w="919" w:type="dxa"/>
            <w:noWrap w:val="0"/>
            <w:vAlign w:val="top"/>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1.5分</w:t>
            </w:r>
          </w:p>
        </w:tc>
        <w:tc>
          <w:tcPr>
            <w:tcW w:w="404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对采用新技术、新产品、新工艺、新材料的情况等内容进行评分。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优秀的得</w:t>
            </w:r>
            <w:r>
              <w:rPr>
                <w:rFonts w:hint="eastAsia" w:ascii="宋体" w:hAnsi="宋体" w:eastAsia="宋体" w:cs="宋体"/>
                <w:b/>
                <w:bCs/>
                <w:sz w:val="21"/>
                <w:szCs w:val="21"/>
                <w:lang w:val="en-US" w:eastAsia="zh-CN"/>
              </w:rPr>
              <w:t>1.0-1.5</w:t>
            </w:r>
            <w:r>
              <w:rPr>
                <w:rFonts w:hint="eastAsia" w:ascii="宋体" w:hAnsi="宋体" w:eastAsia="宋体" w:cs="宋体"/>
                <w:b/>
                <w:bCs/>
                <w:sz w:val="21"/>
                <w:szCs w:val="21"/>
              </w:rPr>
              <w:t>分，良好的得</w:t>
            </w:r>
            <w:r>
              <w:rPr>
                <w:rFonts w:hint="eastAsia" w:ascii="宋体" w:hAnsi="宋体" w:eastAsia="宋体" w:cs="宋体"/>
                <w:b/>
                <w:bCs/>
                <w:sz w:val="21"/>
                <w:szCs w:val="21"/>
                <w:lang w:val="en-US" w:eastAsia="zh-CN"/>
              </w:rPr>
              <w:t>0.6-0.9</w:t>
            </w:r>
            <w:r>
              <w:rPr>
                <w:rFonts w:hint="eastAsia" w:ascii="宋体" w:hAnsi="宋体" w:eastAsia="宋体" w:cs="宋体"/>
                <w:b/>
                <w:bCs/>
                <w:sz w:val="21"/>
                <w:szCs w:val="21"/>
              </w:rPr>
              <w:t>分，一般的得</w:t>
            </w:r>
            <w:r>
              <w:rPr>
                <w:rFonts w:hint="eastAsia" w:ascii="宋体" w:hAnsi="宋体" w:eastAsia="宋体" w:cs="宋体"/>
                <w:b/>
                <w:bCs/>
                <w:sz w:val="21"/>
                <w:szCs w:val="21"/>
                <w:lang w:val="en-US" w:eastAsia="zh-CN"/>
              </w:rPr>
              <w:t>0.1-</w:t>
            </w:r>
            <w:r>
              <w:rPr>
                <w:rFonts w:hint="eastAsia" w:ascii="宋体" w:hAnsi="宋体" w:eastAsia="宋体" w:cs="宋体"/>
                <w:b/>
                <w:bCs/>
                <w:sz w:val="21"/>
                <w:szCs w:val="21"/>
              </w:rPr>
              <w:t>0.</w:t>
            </w:r>
            <w:r>
              <w:rPr>
                <w:rFonts w:hint="eastAsia" w:ascii="宋体" w:hAnsi="宋体" w:eastAsia="宋体" w:cs="宋体"/>
                <w:b/>
                <w:bCs/>
                <w:sz w:val="21"/>
                <w:szCs w:val="21"/>
                <w:lang w:val="en-US" w:eastAsia="zh-CN"/>
              </w:rPr>
              <w:t>5</w:t>
            </w:r>
            <w:r>
              <w:rPr>
                <w:rFonts w:hint="eastAsia" w:ascii="宋体" w:hAnsi="宋体" w:eastAsia="宋体" w:cs="宋体"/>
                <w:b/>
                <w:bCs/>
                <w:sz w:val="21"/>
                <w:szCs w:val="21"/>
              </w:rPr>
              <w:t>分，差和未提供的不得分。</w:t>
            </w:r>
            <w:r>
              <w:rPr>
                <w:rFonts w:hint="eastAsia" w:ascii="宋体" w:hAnsi="宋体" w:eastAsia="宋体" w:cs="宋体"/>
                <w:b/>
                <w:bCs/>
                <w:color w:val="000000"/>
                <w:kern w:val="0"/>
                <w:sz w:val="21"/>
                <w:szCs w:val="21"/>
                <w:lang w:val="en-US" w:eastAsia="zh-CN" w:bidi="ar"/>
              </w:rPr>
              <w:t xml:space="preserve"> </w:t>
            </w:r>
          </w:p>
        </w:tc>
      </w:tr>
    </w:tbl>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备注：项目管理组织方案得分仅保留一位小数。</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r>
        <w:rPr>
          <w:rFonts w:hint="eastAsia" w:ascii="宋体" w:hAnsi="宋体" w:eastAsia="宋体" w:cs="宋体"/>
          <w:b/>
          <w:color w:val="000000"/>
          <w:sz w:val="24"/>
          <w:szCs w:val="24"/>
        </w:rPr>
        <w:t>表一、资格评审标准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评标委员会对投标人的资格标进行符合性评审，评审结论分为“合格”与“不合格”。资格标不合格的投标文件不再进行后续评审。</w:t>
      </w:r>
    </w:p>
    <w:tbl>
      <w:tblPr>
        <w:tblStyle w:val="44"/>
        <w:tblpPr w:leftFromText="180" w:rightFromText="180" w:vertAnchor="text" w:horzAnchor="page" w:tblpX="1453" w:tblpY="31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35"/>
        <w:gridCol w:w="2335"/>
        <w:gridCol w:w="439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0" w:type="dxa"/>
            <w:noWrap w:val="0"/>
            <w:vAlign w:val="center"/>
          </w:tcPr>
          <w:p>
            <w:pPr>
              <w:spacing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评审名称</w:t>
            </w:r>
          </w:p>
        </w:tc>
        <w:tc>
          <w:tcPr>
            <w:tcW w:w="2770" w:type="dxa"/>
            <w:gridSpan w:val="2"/>
            <w:noWrap w:val="0"/>
            <w:vAlign w:val="center"/>
          </w:tcPr>
          <w:p>
            <w:pPr>
              <w:spacing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评审因素</w:t>
            </w:r>
          </w:p>
        </w:tc>
        <w:tc>
          <w:tcPr>
            <w:tcW w:w="4395"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评审标准</w:t>
            </w:r>
          </w:p>
        </w:tc>
        <w:tc>
          <w:tcPr>
            <w:tcW w:w="855"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0" w:type="dxa"/>
            <w:vMerge w:val="restart"/>
            <w:noWrap w:val="0"/>
            <w:vAlign w:val="center"/>
          </w:tcPr>
          <w:p>
            <w:pPr>
              <w:spacing w:line="550" w:lineRule="exact"/>
              <w:jc w:val="center"/>
              <w:rPr>
                <w:rFonts w:hint="eastAsia" w:ascii="宋体" w:hAnsi="宋体" w:eastAsia="宋体" w:cs="宋体"/>
                <w:b/>
                <w:color w:val="000000"/>
                <w:sz w:val="24"/>
                <w:szCs w:val="24"/>
              </w:rPr>
            </w:pPr>
            <w:r>
              <w:rPr>
                <w:rFonts w:hint="eastAsia" w:ascii="宋体" w:hAnsi="宋体" w:eastAsia="宋体" w:cs="宋体"/>
                <w:b/>
                <w:bCs/>
                <w:color w:val="000000"/>
                <w:sz w:val="24"/>
                <w:szCs w:val="24"/>
              </w:rPr>
              <w:t>资格</w:t>
            </w:r>
            <w:r>
              <w:rPr>
                <w:rFonts w:hint="eastAsia" w:ascii="宋体" w:hAnsi="宋体" w:eastAsia="宋体" w:cs="宋体"/>
                <w:b/>
                <w:bCs/>
                <w:color w:val="000000"/>
                <w:sz w:val="24"/>
                <w:szCs w:val="24"/>
                <w:lang w:val="en-US" w:eastAsia="zh-CN"/>
              </w:rPr>
              <w:t>评</w:t>
            </w:r>
            <w:r>
              <w:rPr>
                <w:rFonts w:hint="eastAsia" w:ascii="宋体" w:hAnsi="宋体" w:eastAsia="宋体" w:cs="宋体"/>
                <w:b/>
                <w:bCs/>
                <w:color w:val="000000"/>
                <w:sz w:val="24"/>
                <w:szCs w:val="24"/>
              </w:rPr>
              <w:t>审标准</w:t>
            </w:r>
          </w:p>
        </w:tc>
        <w:tc>
          <w:tcPr>
            <w:tcW w:w="435"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营业执照</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提供真实</w:t>
            </w:r>
            <w:r>
              <w:rPr>
                <w:rFonts w:hint="eastAsia" w:ascii="宋体" w:hAnsi="宋体" w:eastAsia="宋体" w:cs="宋体"/>
                <w:color w:val="000000"/>
                <w:sz w:val="21"/>
                <w:szCs w:val="21"/>
              </w:rPr>
              <w:t>有效的营业执照</w:t>
            </w:r>
            <w:r>
              <w:rPr>
                <w:rFonts w:hint="eastAsia" w:ascii="宋体" w:hAnsi="宋体" w:eastAsia="宋体" w:cs="宋体"/>
                <w:color w:val="000000"/>
                <w:sz w:val="21"/>
                <w:szCs w:val="21"/>
                <w:lang w:val="en-US" w:eastAsia="zh-CN"/>
              </w:rPr>
              <w:t>且</w:t>
            </w:r>
            <w:r>
              <w:rPr>
                <w:rFonts w:hint="eastAsia" w:ascii="宋体" w:hAnsi="宋体" w:eastAsia="宋体" w:cs="宋体"/>
                <w:color w:val="000000"/>
                <w:sz w:val="21"/>
                <w:szCs w:val="21"/>
              </w:rPr>
              <w:t>符合招标文件要求</w:t>
            </w:r>
          </w:p>
        </w:tc>
        <w:tc>
          <w:tcPr>
            <w:tcW w:w="855" w:type="dxa"/>
            <w:noWrap w:val="0"/>
            <w:vAlign w:val="center"/>
          </w:tcPr>
          <w:p>
            <w:pPr>
              <w:spacing w:line="550" w:lineRule="exact"/>
              <w:rPr>
                <w:rFonts w:hint="eastAsia" w:ascii="宋体" w:hAnsi="宋体" w:eastAsia="宋体" w:cs="宋体"/>
                <w:color w:val="00000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资质证书</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提供真实</w:t>
            </w:r>
            <w:r>
              <w:rPr>
                <w:rFonts w:hint="eastAsia" w:ascii="宋体" w:hAnsi="宋体" w:eastAsia="宋体" w:cs="宋体"/>
                <w:color w:val="000000"/>
                <w:sz w:val="21"/>
                <w:szCs w:val="21"/>
              </w:rPr>
              <w:t>有效</w:t>
            </w:r>
            <w:r>
              <w:rPr>
                <w:rFonts w:hint="eastAsia" w:ascii="宋体" w:hAnsi="宋体" w:eastAsia="宋体" w:cs="宋体"/>
                <w:color w:val="000000"/>
                <w:sz w:val="21"/>
                <w:szCs w:val="21"/>
                <w:lang w:val="en-US" w:eastAsia="zh-CN"/>
              </w:rPr>
              <w:t>资质证书且</w:t>
            </w:r>
            <w:r>
              <w:rPr>
                <w:rFonts w:hint="eastAsia" w:ascii="宋体" w:hAnsi="宋体" w:eastAsia="宋体" w:cs="宋体"/>
                <w:color w:val="000000"/>
                <w:sz w:val="21"/>
                <w:szCs w:val="21"/>
              </w:rPr>
              <w:t>符合招标文件要求</w:t>
            </w:r>
          </w:p>
        </w:tc>
        <w:tc>
          <w:tcPr>
            <w:tcW w:w="855" w:type="dxa"/>
            <w:noWrap w:val="0"/>
            <w:vAlign w:val="center"/>
          </w:tcPr>
          <w:p>
            <w:pPr>
              <w:spacing w:line="550" w:lineRule="exact"/>
              <w:jc w:val="center"/>
              <w:rPr>
                <w:rFonts w:hint="eastAsia" w:ascii="宋体" w:hAnsi="宋体" w:eastAsia="宋体" w:cs="宋体"/>
                <w:b/>
                <w:color w:val="00000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60" w:type="dxa"/>
            <w:vMerge w:val="continue"/>
            <w:noWrap w:val="0"/>
            <w:vAlign w:val="top"/>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335" w:type="dxa"/>
            <w:noWrap w:val="0"/>
            <w:vAlign w:val="center"/>
          </w:tcPr>
          <w:p>
            <w:pPr>
              <w:spacing w:line="240" w:lineRule="auto"/>
              <w:jc w:val="left"/>
              <w:rPr>
                <w:rFonts w:hint="eastAsia" w:ascii="宋体" w:hAnsi="宋体" w:eastAsia="宋体" w:cs="宋体"/>
                <w:color w:val="000000"/>
                <w:sz w:val="21"/>
                <w:szCs w:val="21"/>
                <w:lang w:bidi="ar-SA"/>
              </w:rPr>
            </w:pPr>
            <w:r>
              <w:rPr>
                <w:rFonts w:hint="eastAsia" w:ascii="宋体" w:hAnsi="宋体" w:eastAsia="宋体" w:cs="宋体"/>
                <w:color w:val="000000"/>
                <w:sz w:val="21"/>
                <w:szCs w:val="21"/>
              </w:rPr>
              <w:t>安全生产许可证</w:t>
            </w:r>
          </w:p>
        </w:tc>
        <w:tc>
          <w:tcPr>
            <w:tcW w:w="4395" w:type="dxa"/>
            <w:noWrap w:val="0"/>
            <w:vAlign w:val="center"/>
          </w:tcPr>
          <w:p>
            <w:pPr>
              <w:spacing w:line="240" w:lineRule="auto"/>
              <w:jc w:val="left"/>
              <w:rPr>
                <w:rFonts w:hint="eastAsia" w:ascii="宋体" w:hAnsi="宋体" w:eastAsia="宋体" w:cs="宋体"/>
                <w:color w:val="000000"/>
                <w:sz w:val="21"/>
                <w:szCs w:val="21"/>
                <w:lang w:bidi="ar-SA"/>
              </w:rPr>
            </w:pPr>
            <w:r>
              <w:rPr>
                <w:rFonts w:hint="eastAsia" w:ascii="宋体" w:hAnsi="宋体" w:eastAsia="宋体" w:cs="宋体"/>
                <w:color w:val="000000"/>
                <w:sz w:val="21"/>
                <w:szCs w:val="21"/>
                <w:lang w:val="en-US" w:eastAsia="zh-CN"/>
              </w:rPr>
              <w:t>提供真实</w:t>
            </w:r>
            <w:r>
              <w:rPr>
                <w:rFonts w:hint="eastAsia" w:ascii="宋体" w:hAnsi="宋体" w:eastAsia="宋体" w:cs="宋体"/>
                <w:color w:val="000000"/>
                <w:sz w:val="21"/>
                <w:szCs w:val="21"/>
              </w:rPr>
              <w:t>有效的安全生产许可证</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0" w:type="dxa"/>
            <w:vMerge w:val="continue"/>
            <w:noWrap w:val="0"/>
            <w:vAlign w:val="top"/>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335" w:type="dxa"/>
            <w:noWrap w:val="0"/>
            <w:vAlign w:val="center"/>
          </w:tcPr>
          <w:p>
            <w:pPr>
              <w:spacing w:line="240" w:lineRule="auto"/>
              <w:jc w:val="left"/>
              <w:rPr>
                <w:rFonts w:hint="eastAsia" w:ascii="宋体" w:hAnsi="宋体" w:eastAsia="宋体" w:cs="宋体"/>
                <w:color w:val="000000"/>
                <w:sz w:val="21"/>
                <w:szCs w:val="21"/>
                <w:lang w:bidi="ar-SA"/>
              </w:rPr>
            </w:pPr>
            <w:r>
              <w:rPr>
                <w:rFonts w:hint="eastAsia" w:ascii="宋体" w:hAnsi="宋体" w:eastAsia="宋体" w:cs="宋体"/>
                <w:color w:val="000000"/>
                <w:sz w:val="21"/>
                <w:szCs w:val="21"/>
              </w:rPr>
              <w:t>法人授权委托书、</w:t>
            </w:r>
            <w:r>
              <w:rPr>
                <w:rFonts w:hint="eastAsia" w:ascii="宋体" w:hAnsi="宋体" w:eastAsia="宋体" w:cs="宋体"/>
                <w:color w:val="000000"/>
                <w:sz w:val="21"/>
                <w:szCs w:val="21"/>
                <w:lang w:val="en-US" w:eastAsia="zh-CN"/>
              </w:rPr>
              <w:t>法人及委托代理</w:t>
            </w:r>
            <w:r>
              <w:rPr>
                <w:rFonts w:hint="eastAsia" w:ascii="宋体" w:hAnsi="宋体" w:eastAsia="宋体" w:cs="宋体"/>
                <w:color w:val="000000"/>
                <w:sz w:val="21"/>
                <w:szCs w:val="21"/>
              </w:rPr>
              <w:t>人身份证</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签字和加盖公章</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top"/>
          </w:tcPr>
          <w:p>
            <w:pPr>
              <w:spacing w:line="550" w:lineRule="exact"/>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335" w:type="dxa"/>
            <w:noWrap w:val="0"/>
            <w:vAlign w:val="top"/>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工期和质量要求</w:t>
            </w:r>
          </w:p>
        </w:tc>
        <w:tc>
          <w:tcPr>
            <w:tcW w:w="4395" w:type="dxa"/>
            <w:noWrap w:val="0"/>
            <w:vAlign w:val="center"/>
          </w:tcPr>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填写内容必须</w:t>
            </w:r>
            <w:r>
              <w:rPr>
                <w:rFonts w:hint="eastAsia" w:ascii="宋体" w:hAnsi="宋体" w:eastAsia="宋体" w:cs="宋体"/>
                <w:color w:val="000000"/>
                <w:sz w:val="21"/>
                <w:szCs w:val="21"/>
              </w:rPr>
              <w:t>符合招标文件要求</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拟派本项目岗位人员表</w:t>
            </w:r>
          </w:p>
        </w:tc>
        <w:tc>
          <w:tcPr>
            <w:tcW w:w="4395" w:type="dxa"/>
            <w:noWrap w:val="0"/>
            <w:vAlign w:val="center"/>
          </w:tcPr>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必须与人员岗位证书一致</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所有岗位人员到岗承诺书</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必须提供与拟派本项目岗位人员表一致的承诺书</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投标保证金</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必须提供银行转账汇款回执单</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业绩要求</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提供真实有效的合同、竣工验收报告复印件</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10</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其他要求</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必须</w:t>
            </w:r>
            <w:r>
              <w:rPr>
                <w:rFonts w:hint="eastAsia" w:ascii="宋体" w:hAnsi="宋体" w:eastAsia="宋体" w:cs="宋体"/>
                <w:color w:val="000000"/>
                <w:sz w:val="21"/>
                <w:szCs w:val="21"/>
              </w:rPr>
              <w:t>符合招标文件要求</w:t>
            </w:r>
          </w:p>
        </w:tc>
        <w:tc>
          <w:tcPr>
            <w:tcW w:w="855" w:type="dxa"/>
            <w:noWrap w:val="0"/>
            <w:vAlign w:val="center"/>
          </w:tcPr>
          <w:p>
            <w:pPr>
              <w:spacing w:line="550" w:lineRule="exact"/>
              <w:rPr>
                <w:rFonts w:hint="eastAsia" w:ascii="宋体" w:hAnsi="宋体" w:eastAsia="宋体" w:cs="宋体"/>
                <w:color w:val="000000"/>
                <w:sz w:val="21"/>
                <w:szCs w:val="21"/>
              </w:rPr>
            </w:pPr>
          </w:p>
        </w:tc>
      </w:tr>
    </w:tbl>
    <w:p>
      <w:pPr>
        <w:pStyle w:val="17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评委会对通过资格审查的投标文件作进一步的评审。评审的基本步骤和基本要求如下：</w:t>
      </w:r>
    </w:p>
    <w:p>
      <w:pPr>
        <w:pStyle w:val="177"/>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商务标评审（</w:t>
      </w:r>
      <w:r>
        <w:rPr>
          <w:rFonts w:hint="eastAsia" w:ascii="宋体" w:hAnsi="宋体" w:cs="宋体"/>
          <w:b/>
          <w:bCs/>
          <w:color w:val="auto"/>
          <w:sz w:val="24"/>
          <w:szCs w:val="24"/>
          <w:shd w:val="clear" w:color="auto" w:fill="auto"/>
          <w:lang w:val="en-US" w:eastAsia="zh-CN"/>
        </w:rPr>
        <w:t>综合评分法</w:t>
      </w:r>
      <w:r>
        <w:rPr>
          <w:rFonts w:hint="eastAsia" w:ascii="宋体" w:hAnsi="宋体" w:eastAsia="宋体" w:cs="宋体"/>
          <w:b/>
          <w:bCs/>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商务标评审</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1.1、</w:t>
      </w:r>
      <w:r>
        <w:rPr>
          <w:rFonts w:hint="eastAsia" w:ascii="宋体" w:hAnsi="宋体" w:eastAsia="宋体" w:cs="宋体"/>
          <w:color w:val="auto"/>
          <w:sz w:val="24"/>
          <w:szCs w:val="24"/>
          <w:shd w:val="clear" w:color="auto" w:fill="auto"/>
        </w:rPr>
        <w:t>投标报价评审</w:t>
      </w:r>
    </w:p>
    <w:p>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投标人报价不超过该项目</w:t>
      </w:r>
      <w:r>
        <w:rPr>
          <w:rFonts w:hint="eastAsia" w:ascii="宋体" w:hAnsi="宋体" w:eastAsia="宋体" w:cs="宋体"/>
          <w:color w:val="auto"/>
          <w:sz w:val="24"/>
          <w:szCs w:val="24"/>
          <w:shd w:val="clear" w:color="auto" w:fill="auto"/>
          <w:lang w:val="en-US" w:eastAsia="zh-CN"/>
        </w:rPr>
        <w:t>招标控制价或</w:t>
      </w:r>
      <w:r>
        <w:rPr>
          <w:rFonts w:hint="eastAsia" w:ascii="宋体" w:hAnsi="宋体" w:eastAsia="宋体" w:cs="宋体"/>
          <w:b w:val="0"/>
          <w:bCs/>
          <w:color w:val="auto"/>
          <w:sz w:val="24"/>
          <w:szCs w:val="24"/>
          <w:u w:val="none"/>
          <w:lang w:val="en-US" w:eastAsia="zh-CN"/>
        </w:rPr>
        <w:t>有效报价折扣率区间</w:t>
      </w:r>
      <w:r>
        <w:rPr>
          <w:rFonts w:hint="eastAsia" w:ascii="宋体" w:hAnsi="宋体" w:cs="宋体"/>
          <w:b w:val="0"/>
          <w:bCs/>
          <w:color w:val="auto"/>
          <w:sz w:val="24"/>
          <w:szCs w:val="24"/>
          <w:u w:val="none"/>
          <w:lang w:val="en-US" w:eastAsia="zh-CN"/>
        </w:rPr>
        <w:t>值</w:t>
      </w:r>
      <w:r>
        <w:rPr>
          <w:rFonts w:hint="eastAsia" w:ascii="宋体" w:hAnsi="宋体" w:eastAsia="宋体" w:cs="宋体"/>
          <w:color w:val="auto"/>
          <w:sz w:val="24"/>
          <w:szCs w:val="24"/>
          <w:shd w:val="clear" w:color="auto" w:fill="auto"/>
        </w:rPr>
        <w:t>的，评标委员会对投标人的资格标进行符合性评审合格的，方可进入投标报价总价的评审及评标基准值的计算。</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出现下列情形之一的投标报价均不参与基准值计算：</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1.1.1、</w:t>
      </w:r>
      <w:r>
        <w:rPr>
          <w:rFonts w:hint="eastAsia" w:ascii="宋体" w:hAnsi="宋体" w:eastAsia="宋体" w:cs="宋体"/>
          <w:color w:val="auto"/>
          <w:sz w:val="24"/>
          <w:szCs w:val="24"/>
          <w:shd w:val="clear" w:color="auto" w:fill="auto"/>
        </w:rPr>
        <w:t>投标报价超过该项目</w:t>
      </w:r>
      <w:r>
        <w:rPr>
          <w:rFonts w:hint="eastAsia" w:ascii="宋体" w:hAnsi="宋体" w:eastAsia="宋体" w:cs="宋体"/>
          <w:color w:val="auto"/>
          <w:sz w:val="24"/>
          <w:szCs w:val="24"/>
          <w:shd w:val="clear" w:color="auto" w:fill="auto"/>
          <w:lang w:val="en-US" w:eastAsia="zh-CN"/>
        </w:rPr>
        <w:t>招标控制价或</w:t>
      </w:r>
      <w:r>
        <w:rPr>
          <w:rFonts w:hint="eastAsia" w:ascii="宋体" w:hAnsi="宋体" w:eastAsia="宋体" w:cs="宋体"/>
          <w:b w:val="0"/>
          <w:bCs/>
          <w:color w:val="auto"/>
          <w:sz w:val="24"/>
          <w:szCs w:val="24"/>
          <w:u w:val="none"/>
          <w:lang w:val="en-US" w:eastAsia="zh-CN"/>
        </w:rPr>
        <w:t>有效报价折扣率区间</w:t>
      </w:r>
      <w:r>
        <w:rPr>
          <w:rFonts w:hint="eastAsia" w:ascii="宋体" w:hAnsi="宋体" w:cs="宋体"/>
          <w:b w:val="0"/>
          <w:bCs/>
          <w:color w:val="auto"/>
          <w:sz w:val="24"/>
          <w:szCs w:val="24"/>
          <w:u w:val="none"/>
          <w:lang w:val="en-US" w:eastAsia="zh-CN"/>
        </w:rPr>
        <w:t>值</w:t>
      </w:r>
      <w:r>
        <w:rPr>
          <w:rFonts w:hint="eastAsia" w:ascii="宋体" w:hAnsi="宋体" w:eastAsia="宋体" w:cs="宋体"/>
          <w:color w:val="auto"/>
          <w:sz w:val="24"/>
          <w:szCs w:val="24"/>
          <w:shd w:val="clear" w:color="auto" w:fill="auto"/>
        </w:rPr>
        <w:t>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1.1.2、</w:t>
      </w:r>
      <w:r>
        <w:rPr>
          <w:rFonts w:hint="eastAsia" w:ascii="宋体" w:hAnsi="宋体" w:eastAsia="宋体" w:cs="宋体"/>
          <w:color w:val="auto"/>
          <w:sz w:val="24"/>
          <w:szCs w:val="24"/>
          <w:shd w:val="clear" w:color="auto" w:fill="auto"/>
        </w:rPr>
        <w:t>界定为“串通投标”的；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1.1.3、</w:t>
      </w:r>
      <w:r>
        <w:rPr>
          <w:rFonts w:hint="eastAsia" w:ascii="宋体" w:hAnsi="宋体" w:eastAsia="宋体" w:cs="宋体"/>
          <w:color w:val="auto"/>
          <w:sz w:val="24"/>
          <w:szCs w:val="24"/>
          <w:shd w:val="clear" w:color="auto" w:fill="auto"/>
        </w:rPr>
        <w:t>不同投标人投标文件异常一致或者报价呈规律性差异的；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1.2、</w:t>
      </w:r>
      <w:r>
        <w:rPr>
          <w:rFonts w:hint="eastAsia" w:ascii="宋体" w:hAnsi="宋体" w:eastAsia="宋体" w:cs="宋体"/>
          <w:color w:val="auto"/>
          <w:sz w:val="24"/>
          <w:szCs w:val="24"/>
          <w:shd w:val="clear" w:color="auto" w:fill="auto"/>
        </w:rPr>
        <w:t>投标报价分项报价评审</w:t>
      </w:r>
    </w:p>
    <w:p>
      <w:pPr>
        <w:pStyle w:val="177"/>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评标委员会进行商务标报价详细评审时，发现有下列情形之一的，应否决其投标：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1.2.1、</w:t>
      </w:r>
      <w:r>
        <w:rPr>
          <w:rFonts w:hint="eastAsia" w:ascii="宋体" w:hAnsi="宋体" w:eastAsia="宋体" w:cs="宋体"/>
          <w:color w:val="auto"/>
          <w:sz w:val="24"/>
          <w:szCs w:val="24"/>
          <w:shd w:val="clear" w:color="auto" w:fill="auto"/>
        </w:rPr>
        <w:t>修改分部分项工程量清单项目或数量的；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1.2.2</w:t>
      </w:r>
      <w:r>
        <w:rPr>
          <w:rFonts w:hint="eastAsia" w:ascii="宋体" w:hAnsi="宋体" w:eastAsia="宋体" w:cs="宋体"/>
          <w:color w:val="auto"/>
          <w:sz w:val="24"/>
          <w:szCs w:val="24"/>
          <w:shd w:val="clear" w:color="auto" w:fill="auto"/>
        </w:rPr>
        <w:t>投标人的投标报价超过</w:t>
      </w:r>
      <w:r>
        <w:rPr>
          <w:rFonts w:hint="eastAsia" w:ascii="宋体" w:hAnsi="宋体" w:eastAsia="宋体" w:cs="宋体"/>
          <w:color w:val="auto"/>
          <w:sz w:val="24"/>
          <w:szCs w:val="24"/>
          <w:shd w:val="clear" w:color="auto" w:fill="auto"/>
          <w:lang w:val="en-US" w:eastAsia="zh-CN"/>
        </w:rPr>
        <w:t>招标控制价或</w:t>
      </w:r>
      <w:r>
        <w:rPr>
          <w:rFonts w:hint="eastAsia" w:ascii="宋体" w:hAnsi="宋体" w:eastAsia="宋体" w:cs="宋体"/>
          <w:b w:val="0"/>
          <w:bCs/>
          <w:color w:val="auto"/>
          <w:sz w:val="24"/>
          <w:szCs w:val="24"/>
          <w:u w:val="none"/>
          <w:lang w:val="en-US" w:eastAsia="zh-CN"/>
        </w:rPr>
        <w:t>有效报价折扣率区间</w:t>
      </w:r>
      <w:r>
        <w:rPr>
          <w:rFonts w:hint="eastAsia" w:ascii="宋体" w:hAnsi="宋体" w:cs="宋体"/>
          <w:b w:val="0"/>
          <w:bCs/>
          <w:color w:val="auto"/>
          <w:sz w:val="24"/>
          <w:szCs w:val="24"/>
          <w:u w:val="none"/>
          <w:lang w:val="en-US" w:eastAsia="zh-CN"/>
        </w:rPr>
        <w:t>值</w:t>
      </w:r>
      <w:r>
        <w:rPr>
          <w:rFonts w:hint="eastAsia" w:ascii="宋体" w:hAnsi="宋体" w:eastAsia="宋体" w:cs="宋体"/>
          <w:color w:val="auto"/>
          <w:sz w:val="24"/>
          <w:szCs w:val="24"/>
          <w:shd w:val="clear" w:color="auto" w:fill="auto"/>
        </w:rPr>
        <w:t>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1.2.3</w:t>
      </w:r>
      <w:r>
        <w:rPr>
          <w:rFonts w:hint="eastAsia" w:ascii="宋体" w:hAnsi="宋体" w:eastAsia="宋体" w:cs="宋体"/>
          <w:color w:val="auto"/>
          <w:sz w:val="24"/>
          <w:szCs w:val="24"/>
          <w:shd w:val="clear" w:color="auto" w:fill="auto"/>
        </w:rPr>
        <w:t>经评标委员会认定为重大偏差的其他情形。</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1.3、</w:t>
      </w:r>
      <w:r>
        <w:rPr>
          <w:rFonts w:hint="eastAsia" w:ascii="宋体" w:hAnsi="宋体" w:eastAsia="宋体" w:cs="宋体"/>
          <w:color w:val="auto"/>
          <w:sz w:val="24"/>
          <w:szCs w:val="24"/>
          <w:shd w:val="clear" w:color="auto" w:fill="auto"/>
        </w:rPr>
        <w:t>投标人有以下情形之一的，评标委员会应当否决其投标：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1.3.1、</w:t>
      </w:r>
      <w:r>
        <w:rPr>
          <w:rFonts w:hint="eastAsia" w:ascii="宋体" w:hAnsi="宋体" w:eastAsia="宋体" w:cs="宋体"/>
          <w:color w:val="auto"/>
          <w:sz w:val="24"/>
          <w:szCs w:val="24"/>
          <w:shd w:val="clear" w:color="auto" w:fill="auto"/>
        </w:rPr>
        <w:t xml:space="preserve">串通投标或弄虚作假或有其他违法行为的；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1.3.2、</w:t>
      </w:r>
      <w:r>
        <w:rPr>
          <w:rFonts w:hint="eastAsia" w:ascii="宋体" w:hAnsi="宋体" w:eastAsia="宋体" w:cs="宋体"/>
          <w:color w:val="auto"/>
          <w:sz w:val="24"/>
          <w:szCs w:val="24"/>
          <w:shd w:val="clear" w:color="auto" w:fill="auto"/>
        </w:rPr>
        <w:t>不按评标委员会要求澄清、说明或补正的；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1.3.3、</w:t>
      </w:r>
      <w:r>
        <w:rPr>
          <w:rFonts w:hint="eastAsia" w:ascii="宋体" w:hAnsi="宋体" w:eastAsia="宋体" w:cs="宋体"/>
          <w:color w:val="auto"/>
          <w:sz w:val="24"/>
          <w:szCs w:val="24"/>
          <w:shd w:val="clear" w:color="auto" w:fill="auto"/>
        </w:rPr>
        <w:t>不同投标人投标文件异常一致或者报价呈规律性差异的；</w:t>
      </w:r>
    </w:p>
    <w:p>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评</w:t>
      </w:r>
      <w:r>
        <w:rPr>
          <w:rFonts w:hint="eastAsia" w:ascii="宋体" w:hAnsi="宋体" w:cs="宋体"/>
          <w:color w:val="auto"/>
          <w:sz w:val="24"/>
          <w:szCs w:val="24"/>
          <w:lang w:val="en-US" w:eastAsia="zh-CN"/>
        </w:rPr>
        <w:t>标委员会</w:t>
      </w:r>
      <w:r>
        <w:rPr>
          <w:rFonts w:hint="eastAsia" w:ascii="宋体" w:hAnsi="宋体" w:eastAsia="宋体" w:cs="宋体"/>
          <w:color w:val="auto"/>
          <w:sz w:val="24"/>
          <w:szCs w:val="24"/>
        </w:rPr>
        <w:t>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标委员会，</w:t>
      </w:r>
      <w:r>
        <w:rPr>
          <w:rFonts w:hint="eastAsia" w:ascii="宋体" w:hAnsi="宋体" w:cs="宋体"/>
          <w:color w:val="auto"/>
          <w:sz w:val="24"/>
          <w:szCs w:val="24"/>
          <w:lang w:val="en-US" w:eastAsia="zh-CN"/>
        </w:rPr>
        <w:t>时间</w:t>
      </w:r>
      <w:r>
        <w:rPr>
          <w:rFonts w:hint="eastAsia" w:ascii="宋体" w:hAnsi="宋体" w:eastAsia="宋体" w:cs="宋体"/>
          <w:color w:val="auto"/>
          <w:sz w:val="24"/>
          <w:szCs w:val="24"/>
        </w:rPr>
        <w:t>不得超过</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分钟。评标委员会将对澄清、说明或补正内容评审后决定是否</w:t>
      </w:r>
      <w:r>
        <w:rPr>
          <w:rFonts w:hint="eastAsia" w:ascii="宋体" w:hAnsi="宋体" w:cs="宋体"/>
          <w:color w:val="auto"/>
          <w:sz w:val="24"/>
          <w:szCs w:val="24"/>
          <w:lang w:val="en-US" w:eastAsia="zh-CN"/>
        </w:rPr>
        <w:t>通过</w:t>
      </w:r>
      <w:r>
        <w:rPr>
          <w:rFonts w:hint="eastAsia" w:ascii="宋体" w:hAnsi="宋体" w:eastAsia="宋体" w:cs="宋体"/>
          <w:color w:val="auto"/>
          <w:sz w:val="24"/>
          <w:szCs w:val="24"/>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推荐中标候选人。</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经评审合格的投标文件，评标委员会按</w:t>
      </w:r>
      <w:r>
        <w:rPr>
          <w:rFonts w:hint="eastAsia" w:ascii="宋体" w:hAnsi="宋体" w:cs="宋体"/>
          <w:color w:val="auto"/>
          <w:sz w:val="24"/>
          <w:szCs w:val="24"/>
          <w:lang w:val="en-US" w:eastAsia="zh-CN"/>
        </w:rPr>
        <w:t>综合评分最高的</w:t>
      </w:r>
      <w:r>
        <w:rPr>
          <w:rFonts w:hint="eastAsia" w:ascii="宋体" w:hAnsi="宋体" w:eastAsia="宋体" w:cs="宋体"/>
          <w:color w:val="auto"/>
          <w:sz w:val="24"/>
          <w:szCs w:val="24"/>
          <w:lang w:val="en-US" w:eastAsia="zh-CN"/>
        </w:rPr>
        <w:t>确定</w:t>
      </w:r>
      <w:r>
        <w:rPr>
          <w:rFonts w:hint="eastAsia" w:ascii="宋体" w:hAnsi="宋体" w:cs="宋体"/>
          <w:color w:val="auto"/>
          <w:sz w:val="24"/>
          <w:szCs w:val="24"/>
          <w:lang w:val="en-US" w:eastAsia="zh-CN"/>
        </w:rPr>
        <w:t>为第一</w:t>
      </w:r>
      <w:r>
        <w:rPr>
          <w:rFonts w:hint="eastAsia" w:ascii="宋体" w:hAnsi="宋体" w:eastAsia="宋体" w:cs="宋体"/>
          <w:color w:val="auto"/>
          <w:sz w:val="24"/>
          <w:szCs w:val="24"/>
          <w:lang w:val="en-US" w:eastAsia="zh-CN"/>
        </w:rPr>
        <w:t>中标</w:t>
      </w:r>
      <w:r>
        <w:rPr>
          <w:rFonts w:hint="eastAsia" w:ascii="宋体" w:hAnsi="宋体" w:cs="宋体"/>
          <w:color w:val="auto"/>
          <w:sz w:val="24"/>
          <w:szCs w:val="24"/>
          <w:lang w:val="en-US" w:eastAsia="zh-CN"/>
        </w:rPr>
        <w:t>候选</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w:t>
      </w:r>
    </w:p>
    <w:p>
      <w:pPr>
        <w:pStyle w:val="177"/>
        <w:spacing w:line="360" w:lineRule="auto"/>
        <w:jc w:val="center"/>
        <w:rPr>
          <w:rFonts w:hint="eastAsia" w:ascii="黑体" w:hAnsi="黑体" w:eastAsia="黑体" w:cs="黑体"/>
          <w:b/>
          <w:bCs/>
          <w:color w:val="auto"/>
          <w:sz w:val="52"/>
          <w:szCs w:val="52"/>
          <w:lang w:val="en-US" w:eastAsia="zh-CN"/>
        </w:rPr>
      </w:pPr>
      <w:r>
        <w:rPr>
          <w:rFonts w:hint="eastAsia" w:ascii="宋体" w:hAnsi="宋体" w:eastAsia="宋体" w:cs="宋体"/>
          <w:color w:val="auto"/>
          <w:sz w:val="24"/>
          <w:szCs w:val="24"/>
          <w:lang w:val="en-US" w:eastAsia="zh-CN"/>
        </w:rPr>
        <w:br w:type="page"/>
      </w:r>
    </w:p>
    <w:p>
      <w:pPr>
        <w:pStyle w:val="4"/>
        <w:keepNext w:val="0"/>
        <w:keepLines w:val="0"/>
        <w:spacing w:line="240" w:lineRule="auto"/>
        <w:jc w:val="center"/>
        <w:rPr>
          <w:rFonts w:hint="eastAsia" w:ascii="黑体" w:hAnsi="黑体" w:eastAsia="黑体" w:cs="黑体"/>
          <w:color w:val="auto"/>
          <w:kern w:val="44"/>
          <w:sz w:val="44"/>
          <w:szCs w:val="44"/>
        </w:rPr>
      </w:pPr>
      <w:r>
        <w:rPr>
          <w:rFonts w:hint="eastAsia" w:ascii="黑体" w:hAnsi="黑体" w:eastAsia="黑体" w:cs="黑体"/>
          <w:color w:val="auto"/>
          <w:kern w:val="44"/>
          <w:sz w:val="44"/>
          <w:szCs w:val="44"/>
        </w:rPr>
        <w:t>第五章 投标文件格式</w:t>
      </w:r>
    </w:p>
    <w:p>
      <w:pPr>
        <w:spacing w:line="360" w:lineRule="auto"/>
        <w:jc w:val="center"/>
        <w:rPr>
          <w:rFonts w:hint="eastAsia" w:ascii="宋体" w:hAnsi="宋体" w:eastAsia="宋体" w:cs="宋体"/>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宋体" w:hAnsi="宋体" w:eastAsia="宋体" w:cs="宋体"/>
          <w:b/>
          <w:bCs/>
          <w:color w:val="auto"/>
          <w:sz w:val="52"/>
          <w:szCs w:val="52"/>
          <w:lang w:val="en-US" w:eastAsia="zh-CN"/>
        </w:rPr>
      </w:pPr>
      <w:r>
        <w:rPr>
          <w:rFonts w:hint="eastAsia" w:ascii="宋体" w:hAnsi="宋体" w:eastAsia="宋体" w:cs="宋体"/>
          <w:b/>
          <w:bCs/>
          <w:color w:val="auto"/>
          <w:sz w:val="52"/>
          <w:szCs w:val="52"/>
          <w:lang w:val="en-US" w:eastAsia="zh-CN"/>
        </w:rPr>
        <w:t>宁国市河沥文化街区EPC项目夜景亮化专业分包工程</w:t>
      </w:r>
    </w:p>
    <w:p>
      <w:pPr>
        <w:rPr>
          <w:rFonts w:hint="eastAsia" w:ascii="宋体" w:hAnsi="宋体" w:eastAsia="宋体" w:cs="宋体"/>
          <w:b w:val="0"/>
          <w:bCs/>
          <w:color w:val="auto"/>
          <w:spacing w:val="37"/>
          <w:sz w:val="24"/>
          <w:szCs w:val="24"/>
          <w:lang w:val="en-US" w:eastAsia="zh-CN"/>
        </w:rPr>
      </w:pPr>
    </w:p>
    <w:p>
      <w:pPr>
        <w:pStyle w:val="2"/>
        <w:rPr>
          <w:rFonts w:hint="default" w:ascii="Arial" w:hAnsi="Arial" w:eastAsia="黑体" w:cs="Times New Roman"/>
          <w:b/>
          <w:color w:val="auto"/>
          <w:sz w:val="32"/>
          <w:szCs w:val="32"/>
        </w:rPr>
      </w:pP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投</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标</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文</w:t>
      </w:r>
    </w:p>
    <w:p>
      <w:pPr>
        <w:jc w:val="center"/>
        <w:rPr>
          <w:rFonts w:hint="eastAsia"/>
          <w:color w:val="auto"/>
        </w:rPr>
      </w:pPr>
      <w:r>
        <w:rPr>
          <w:rFonts w:hint="eastAsia" w:ascii="宋体" w:hAnsi="宋体" w:eastAsia="宋体" w:cs="宋体"/>
          <w:b/>
          <w:color w:val="auto"/>
          <w:sz w:val="84"/>
          <w:szCs w:val="84"/>
        </w:rPr>
        <w:t>件</w:t>
      </w:r>
    </w:p>
    <w:p>
      <w:pPr>
        <w:rPr>
          <w:rFonts w:hint="eastAsia"/>
        </w:rPr>
      </w:pPr>
    </w:p>
    <w:p>
      <w:pPr>
        <w:spacing w:line="240" w:lineRule="auto"/>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招标人：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240" w:lineRule="auto"/>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投标单位（公章）：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240"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法定代表人或其委托代理人（签字或盖章）：</w:t>
      </w:r>
      <w:r>
        <w:rPr>
          <w:rFonts w:hint="eastAsia" w:ascii="宋体" w:hAnsi="宋体" w:eastAsia="宋体" w:cs="宋体"/>
          <w:color w:val="auto"/>
          <w:sz w:val="28"/>
          <w:szCs w:val="28"/>
          <w:u w:val="single"/>
        </w:rPr>
        <w:t xml:space="preserve">     </w:t>
      </w:r>
    </w:p>
    <w:p>
      <w:pPr>
        <w:spacing w:line="240" w:lineRule="auto"/>
        <w:ind w:firstLine="1400" w:firstLineChars="500"/>
        <w:jc w:val="both"/>
        <w:rPr>
          <w:rFonts w:hint="eastAsia"/>
        </w:rPr>
      </w:pPr>
      <w:r>
        <w:rPr>
          <w:rFonts w:hint="eastAsia" w:ascii="宋体" w:hAnsi="宋体" w:eastAsia="宋体" w:cs="宋体"/>
          <w:color w:val="auto"/>
          <w:sz w:val="28"/>
          <w:szCs w:val="28"/>
        </w:rPr>
        <w:t>时间：</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年</w:t>
      </w:r>
      <w:r>
        <w:rPr>
          <w:rFonts w:hint="eastAsia" w:ascii="宋体" w:hAnsi="宋体" w:eastAsia="宋体" w:cs="宋体"/>
          <w:color w:val="auto"/>
          <w:lang w:val="en-US" w:eastAsia="zh-CN"/>
        </w:rPr>
        <w:t xml:space="preserve">    </w:t>
      </w:r>
      <w:r>
        <w:rPr>
          <w:rFonts w:hint="eastAsia" w:ascii="宋体" w:hAnsi="宋体" w:eastAsia="宋体" w:cs="宋体"/>
          <w:color w:val="auto"/>
        </w:rPr>
        <w:t>月</w:t>
      </w:r>
      <w:r>
        <w:rPr>
          <w:rFonts w:hint="eastAsia" w:ascii="宋体" w:hAnsi="宋体" w:eastAsia="宋体" w:cs="宋体"/>
          <w:color w:val="auto"/>
          <w:lang w:val="en-US" w:eastAsia="zh-CN"/>
        </w:rPr>
        <w:t xml:space="preserve">    </w:t>
      </w:r>
      <w:r>
        <w:rPr>
          <w:rFonts w:hint="eastAsia" w:ascii="宋体" w:hAnsi="宋体" w:eastAsia="宋体" w:cs="宋体"/>
          <w:color w:val="auto"/>
        </w:rPr>
        <w:t>日</w:t>
      </w:r>
    </w:p>
    <w:p>
      <w:pPr>
        <w:spacing w:line="240" w:lineRule="auto"/>
        <w:ind w:firstLine="2520" w:firstLineChars="900"/>
        <w:rPr>
          <w:rFonts w:hint="eastAsia" w:ascii="黑体" w:hAnsi="黑体" w:eastAsia="黑体" w:cs="黑体"/>
          <w:color w:val="auto"/>
          <w:sz w:val="32"/>
          <w:szCs w:val="32"/>
          <w:lang w:eastAsia="zh-CN"/>
        </w:rPr>
      </w:pPr>
      <w:r>
        <w:rPr>
          <w:rFonts w:hint="eastAsia" w:ascii="宋体" w:hAnsi="宋体" w:eastAsia="宋体" w:cs="宋体"/>
          <w:color w:val="auto"/>
          <w:sz w:val="28"/>
          <w:szCs w:val="28"/>
        </w:rPr>
        <w:t xml:space="preserve">   </w:t>
      </w:r>
      <w:r>
        <w:rPr>
          <w:rFonts w:hint="eastAsia" w:ascii="黑体" w:hAnsi="黑体" w:eastAsia="黑体" w:cs="黑体"/>
          <w:color w:val="auto"/>
          <w:sz w:val="32"/>
          <w:szCs w:val="32"/>
          <w:lang w:eastAsia="zh-CN"/>
        </w:rPr>
        <w:t>目</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录</w:t>
      </w:r>
    </w:p>
    <w:p>
      <w:pPr>
        <w:numPr>
          <w:ilvl w:val="0"/>
          <w:numId w:val="9"/>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投 标 函</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二、联合体投标合作协议</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三、法定代表人身份证明</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四、授权委托书</w:t>
      </w:r>
    </w:p>
    <w:p>
      <w:pPr>
        <w:numPr>
          <w:ilvl w:val="0"/>
          <w:numId w:val="0"/>
        </w:numPr>
        <w:spacing w:line="360" w:lineRule="auto"/>
        <w:jc w:val="left"/>
        <w:rPr>
          <w:rFonts w:hint="eastAsia" w:ascii="宋体" w:hAnsi="宋体" w:eastAsia="宋体" w:cs="宋体"/>
          <w:b w:val="0"/>
          <w:bCs w:val="0"/>
          <w:color w:val="auto"/>
          <w:kern w:val="0"/>
          <w:sz w:val="28"/>
          <w:szCs w:val="28"/>
          <w:lang w:eastAsia="zh-CN" w:bidi="ar-SA"/>
        </w:rPr>
      </w:pPr>
      <w:r>
        <w:rPr>
          <w:rFonts w:hint="eastAsia" w:ascii="宋体" w:hAnsi="宋体" w:eastAsia="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eastAsia="zh-CN" w:bidi="ar-SA"/>
        </w:rPr>
        <w:t>、本项目报价表</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六、投标人一般情况表</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七、拟投入本项目组的工作人员汇总表</w:t>
      </w:r>
    </w:p>
    <w:p>
      <w:pPr>
        <w:keepNext/>
        <w:keepLines/>
        <w:pageBreakBefore w:val="0"/>
        <w:widowControl w:val="0"/>
        <w:kinsoku/>
        <w:wordWrap/>
        <w:overflowPunct/>
        <w:topLinePunct w:val="0"/>
        <w:autoSpaceDE/>
        <w:autoSpaceDN/>
        <w:bidi w:val="0"/>
        <w:adjustRightInd/>
        <w:snapToGrid/>
        <w:spacing w:line="416" w:lineRule="auto"/>
        <w:textAlignment w:val="auto"/>
        <w:outlineLvl w:val="9"/>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八、到岗承诺书</w:t>
      </w: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lang w:val="en-US" w:eastAsia="zh-CN"/>
        </w:rPr>
      </w:pPr>
      <w:r>
        <w:rPr>
          <w:rFonts w:hint="eastAsia" w:ascii="宋体" w:hAnsi="宋体" w:eastAsia="宋体" w:cs="宋体"/>
          <w:b w:val="0"/>
          <w:bCs w:val="0"/>
          <w:color w:val="auto"/>
          <w:kern w:val="0"/>
          <w:sz w:val="28"/>
          <w:szCs w:val="28"/>
          <w:lang w:val="en-US" w:eastAsia="zh-CN" w:bidi="ar-SA"/>
        </w:rPr>
        <w:t>九、项目管理组织方案</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sectPr>
          <w:pgSz w:w="11906" w:h="16838"/>
          <w:pgMar w:top="1440" w:right="1800" w:bottom="1440" w:left="1800" w:header="851" w:footer="992" w:gutter="0"/>
          <w:pgNumType w:fmt="decimal"/>
          <w:cols w:space="720" w:num="1"/>
          <w:rtlGutter w:val="0"/>
          <w:docGrid w:type="lines" w:linePitch="329" w:charSpace="0"/>
        </w:sectPr>
      </w:pPr>
      <w:r>
        <w:rPr>
          <w:rFonts w:hint="eastAsia" w:ascii="宋体" w:hAnsi="宋体" w:eastAsia="宋体" w:cs="宋体"/>
          <w:b w:val="0"/>
          <w:bCs w:val="0"/>
          <w:color w:val="auto"/>
          <w:kern w:val="0"/>
          <w:sz w:val="28"/>
          <w:szCs w:val="28"/>
          <w:lang w:val="en-US" w:eastAsia="zh-CN" w:bidi="ar-SA"/>
        </w:rPr>
        <w:t>十、其他资料</w:t>
      </w: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一、投 标 函</w:t>
      </w:r>
    </w:p>
    <w:p>
      <w:pPr>
        <w:pStyle w:val="17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auto"/>
        </w:rPr>
        <w:t>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（招标人名称）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1．我方已仔细研究了</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（项目名称）招标文件的全部内容，经考察项目现场和研究上述项目招标文件要求及其他招标资料后，我方</w:t>
      </w:r>
      <w:r>
        <w:rPr>
          <w:rFonts w:hint="eastAsia" w:ascii="宋体" w:hAnsi="宋体" w:eastAsia="宋体" w:cs="宋体"/>
          <w:color w:val="auto"/>
          <w:sz w:val="24"/>
          <w:szCs w:val="24"/>
          <w:shd w:val="clear" w:color="auto" w:fill="auto"/>
          <w:lang w:val="en-US" w:eastAsia="zh-CN"/>
        </w:rPr>
        <w:t>报价</w:t>
      </w:r>
      <w:r>
        <w:rPr>
          <w:rFonts w:hint="eastAsia" w:ascii="宋体" w:hAnsi="宋体" w:cs="宋体"/>
          <w:color w:val="auto"/>
          <w:sz w:val="24"/>
          <w:szCs w:val="24"/>
          <w:shd w:val="clear" w:color="auto" w:fill="auto"/>
          <w:lang w:val="en-US" w:eastAsia="zh-CN"/>
        </w:rPr>
        <w:t>折扣率</w:t>
      </w:r>
      <w:r>
        <w:rPr>
          <w:rFonts w:hint="eastAsia" w:ascii="宋体" w:hAnsi="宋体" w:eastAsia="宋体" w:cs="宋体"/>
          <w:color w:val="auto"/>
          <w:sz w:val="24"/>
          <w:szCs w:val="24"/>
          <w:shd w:val="clear" w:color="auto" w:fill="auto"/>
          <w:lang w:val="en-US" w:eastAsia="zh-CN"/>
        </w:rPr>
        <w:t>为</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cs="宋体"/>
          <w:color w:val="auto"/>
          <w:sz w:val="24"/>
          <w:szCs w:val="24"/>
          <w:u w:val="none"/>
          <w:shd w:val="clear" w:color="auto" w:fill="auto"/>
          <w:lang w:val="en-US" w:eastAsia="zh-CN"/>
        </w:rPr>
        <w:t>%</w:t>
      </w:r>
      <w:r>
        <w:rPr>
          <w:rFonts w:hint="eastAsia" w:ascii="宋体" w:hAnsi="宋体" w:eastAsia="宋体" w:cs="宋体"/>
          <w:color w:val="auto"/>
          <w:sz w:val="24"/>
          <w:szCs w:val="24"/>
          <w:u w:val="none"/>
          <w:shd w:val="clear" w:color="auto" w:fill="auto"/>
          <w:lang w:val="en-US" w:eastAsia="zh-CN"/>
        </w:rPr>
        <w:t xml:space="preserve"> （保留两位小数）</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工期</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cs="宋体"/>
          <w:color w:val="auto"/>
          <w:sz w:val="24"/>
          <w:szCs w:val="24"/>
          <w:u w:val="single"/>
          <w:shd w:val="clear" w:color="auto" w:fill="auto"/>
          <w:lang w:val="en-US" w:eastAsia="zh-CN"/>
        </w:rPr>
        <w:t>120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日历天</w:t>
      </w:r>
      <w:r>
        <w:rPr>
          <w:rFonts w:hint="eastAsia" w:ascii="宋体" w:hAnsi="宋体" w:eastAsia="宋体" w:cs="宋体"/>
          <w:color w:val="auto"/>
          <w:sz w:val="24"/>
          <w:szCs w:val="24"/>
          <w:shd w:val="clear" w:color="auto" w:fill="auto"/>
        </w:rPr>
        <w:t>，按合同约定实施和完成承包该项目工程，修补工程中的任何缺陷，工程质量达到</w:t>
      </w:r>
      <w:r>
        <w:rPr>
          <w:rFonts w:hint="eastAsia" w:ascii="宋体" w:hAnsi="宋体" w:eastAsia="宋体" w:cs="宋体"/>
          <w:color w:val="auto"/>
          <w:sz w:val="24"/>
          <w:szCs w:val="24"/>
          <w:u w:val="single"/>
          <w:shd w:val="clear" w:color="auto" w:fill="auto"/>
        </w:rPr>
        <w:t xml:space="preserve"> </w:t>
      </w:r>
      <w:r>
        <w:rPr>
          <w:rFonts w:hint="eastAsia" w:ascii="宋体" w:hAnsi="宋体" w:cs="宋体"/>
          <w:color w:val="auto"/>
          <w:sz w:val="24"/>
          <w:szCs w:val="24"/>
          <w:u w:val="single"/>
          <w:shd w:val="clear" w:color="auto" w:fill="auto"/>
          <w:lang w:val="en-US" w:eastAsia="zh-CN"/>
        </w:rPr>
        <w:t>合格</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标准。</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2．我方承诺在投标有效期内不修改、撤销投标文件。</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3．如我方中标，我方拟派</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为本工程</w:t>
      </w:r>
      <w:r>
        <w:rPr>
          <w:rFonts w:hint="eastAsia" w:ascii="宋体" w:hAnsi="宋体" w:eastAsia="宋体" w:cs="宋体"/>
          <w:color w:val="auto"/>
          <w:sz w:val="24"/>
          <w:szCs w:val="24"/>
          <w:shd w:val="clear" w:color="auto" w:fill="auto"/>
          <w:lang w:val="en-US" w:eastAsia="zh-CN"/>
        </w:rPr>
        <w:t>项目</w:t>
      </w:r>
      <w:r>
        <w:rPr>
          <w:rFonts w:hint="eastAsia" w:ascii="宋体" w:hAnsi="宋体" w:eastAsia="宋体" w:cs="宋体"/>
          <w:color w:val="auto"/>
          <w:sz w:val="24"/>
          <w:szCs w:val="24"/>
          <w:shd w:val="clear" w:color="auto" w:fill="auto"/>
          <w:lang w:eastAsia="zh-CN"/>
        </w:rPr>
        <w:t>负责人</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eastAsia="zh-CN"/>
        </w:rPr>
        <w:t>联系电话</w:t>
      </w:r>
      <w:r>
        <w:rPr>
          <w:rFonts w:hint="eastAsia" w:ascii="宋体" w:hAnsi="宋体" w:eastAsia="宋体" w:cs="宋体"/>
          <w:color w:val="auto"/>
          <w:sz w:val="24"/>
          <w:szCs w:val="24"/>
          <w:shd w:val="clear" w:color="auto" w:fill="auto"/>
          <w:lang w:val="en-US" w:eastAsia="zh-CN"/>
        </w:rPr>
        <w:t>：</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none"/>
          <w:shd w:val="clear" w:color="auto" w:fill="auto"/>
          <w:lang w:val="en-US" w:eastAsia="zh-CN"/>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4．如我方中标：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(l）我方承诺在收到中标通知书后，在中标通知书规定的期限内与</w:t>
      </w:r>
      <w:r>
        <w:rPr>
          <w:rFonts w:hint="eastAsia" w:ascii="宋体" w:hAnsi="宋体" w:eastAsia="宋体" w:cs="宋体"/>
          <w:color w:val="auto"/>
          <w:sz w:val="24"/>
          <w:szCs w:val="24"/>
          <w:shd w:val="clear" w:color="auto" w:fill="auto"/>
          <w:lang w:val="en-US" w:eastAsia="zh-CN"/>
        </w:rPr>
        <w:t>贵司</w:t>
      </w:r>
      <w:r>
        <w:rPr>
          <w:rFonts w:hint="eastAsia" w:ascii="宋体" w:hAnsi="宋体" w:eastAsia="宋体" w:cs="宋体"/>
          <w:color w:val="auto"/>
          <w:sz w:val="24"/>
          <w:szCs w:val="24"/>
          <w:shd w:val="clear" w:color="auto" w:fill="auto"/>
        </w:rPr>
        <w:t>签订合同。</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(2）随同本投标函递交的投标函附录属于合同文件的组成部分。</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(3）我方承诺按照招标文件规定向</w:t>
      </w:r>
      <w:r>
        <w:rPr>
          <w:rFonts w:hint="eastAsia" w:ascii="宋体" w:hAnsi="宋体" w:eastAsia="宋体" w:cs="宋体"/>
          <w:color w:val="auto"/>
          <w:sz w:val="24"/>
          <w:szCs w:val="24"/>
          <w:shd w:val="clear" w:color="auto" w:fill="auto"/>
          <w:lang w:val="en-US" w:eastAsia="zh-CN"/>
        </w:rPr>
        <w:t>贵方</w:t>
      </w:r>
      <w:r>
        <w:rPr>
          <w:rFonts w:hint="eastAsia" w:ascii="宋体" w:hAnsi="宋体" w:eastAsia="宋体" w:cs="宋体"/>
          <w:color w:val="auto"/>
          <w:sz w:val="24"/>
          <w:szCs w:val="24"/>
          <w:shd w:val="clear" w:color="auto" w:fill="auto"/>
        </w:rPr>
        <w:t>递交履约担保。</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(4）我方承诺在合同约定的期限内完成并移交全部合同</w:t>
      </w:r>
      <w:r>
        <w:rPr>
          <w:rFonts w:hint="eastAsia" w:ascii="宋体" w:hAnsi="宋体" w:eastAsia="宋体" w:cs="宋体"/>
          <w:color w:val="auto"/>
          <w:sz w:val="24"/>
          <w:szCs w:val="24"/>
          <w:shd w:val="clear" w:color="auto" w:fill="auto"/>
          <w:lang w:val="en-US" w:eastAsia="zh-CN"/>
        </w:rPr>
        <w:t>设计任务</w:t>
      </w:r>
      <w:r>
        <w:rPr>
          <w:rFonts w:hint="eastAsia" w:ascii="宋体" w:hAnsi="宋体" w:eastAsia="宋体" w:cs="宋体"/>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(5）我方承诺本投标函在招标文件规定的提交投标文件截止时间后，在招标文件规定的投标有效期期满前对我方具有约束力，且随时准备接受</w:t>
      </w:r>
      <w:r>
        <w:rPr>
          <w:rFonts w:hint="eastAsia" w:ascii="宋体" w:hAnsi="宋体" w:eastAsia="宋体" w:cs="宋体"/>
          <w:color w:val="auto"/>
          <w:sz w:val="24"/>
          <w:szCs w:val="24"/>
          <w:shd w:val="clear" w:color="auto" w:fill="auto"/>
          <w:lang w:val="en-US" w:eastAsia="zh-CN"/>
        </w:rPr>
        <w:t>贵方</w:t>
      </w:r>
      <w:r>
        <w:rPr>
          <w:rFonts w:hint="eastAsia" w:ascii="宋体" w:hAnsi="宋体" w:eastAsia="宋体" w:cs="宋体"/>
          <w:color w:val="auto"/>
          <w:sz w:val="24"/>
          <w:szCs w:val="24"/>
          <w:shd w:val="clear" w:color="auto" w:fill="auto"/>
        </w:rPr>
        <w:t>发出的中标通知书。</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5.我方在此声明，所递交的投标文件及有关资料内容完整、真实和准确。</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6．若成为中标候选人，本公司自愿接受招标人的考察与约谈，一旦查出有违反法律、法规等行为（如挂靠、转包等行为的），愿承担一切责任与后果。</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投标人：</w:t>
      </w:r>
      <w:r>
        <w:rPr>
          <w:rFonts w:hint="eastAsia" w:ascii="宋体" w:hAnsi="宋体" w:eastAsia="宋体" w:cs="宋体"/>
          <w:color w:val="auto"/>
          <w:sz w:val="24"/>
          <w:szCs w:val="24"/>
          <w:u w:val="single"/>
          <w:shd w:val="clear" w:color="auto" w:fill="auto"/>
        </w:rPr>
        <w:t xml:space="preserve">                     （盖单位章）</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法定代表人或其委托代理人：</w:t>
      </w:r>
      <w:r>
        <w:rPr>
          <w:rFonts w:hint="eastAsia" w:ascii="宋体" w:hAnsi="宋体" w:eastAsia="宋体" w:cs="宋体"/>
          <w:color w:val="auto"/>
          <w:sz w:val="24"/>
          <w:szCs w:val="24"/>
          <w:u w:val="single"/>
          <w:shd w:val="clear" w:color="auto" w:fill="auto"/>
        </w:rPr>
        <w:t xml:space="preserve">             （签字或盖章）</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地址：</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电话：</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none"/>
          <w:shd w:val="clear" w:color="auto" w:fill="auto"/>
          <w:lang w:val="en-US" w:eastAsia="zh-CN"/>
        </w:rPr>
        <w:t>企业邮箱：</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none"/>
          <w:shd w:val="clear" w:color="auto" w:fill="auto"/>
        </w:rPr>
        <w:t xml:space="preserve">     </w:t>
      </w:r>
      <w:r>
        <w:rPr>
          <w:rFonts w:hint="eastAsia" w:ascii="宋体" w:hAnsi="宋体" w:eastAsia="宋体" w:cs="宋体"/>
          <w:color w:val="auto"/>
          <w:sz w:val="24"/>
          <w:szCs w:val="24"/>
          <w:shd w:val="clear" w:color="auto" w:fill="auto"/>
        </w:rPr>
        <w:t xml:space="preserve">   </w:t>
      </w:r>
    </w:p>
    <w:p>
      <w:pPr>
        <w:pStyle w:val="177"/>
        <w:keepNext w:val="0"/>
        <w:keepLines w:val="0"/>
        <w:pageBreakBefore w:val="0"/>
        <w:widowControl w:val="0"/>
        <w:kinsoku/>
        <w:wordWrap/>
        <w:overflowPunct/>
        <w:topLinePunct w:val="0"/>
        <w:autoSpaceDE/>
        <w:autoSpaceDN/>
        <w:bidi w:val="0"/>
        <w:adjustRightInd/>
        <w:snapToGrid/>
        <w:spacing w:line="360" w:lineRule="auto"/>
        <w:ind w:left="6720" w:leftChars="100" w:hanging="6480" w:hangingChars="27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月    日</w:t>
      </w:r>
    </w:p>
    <w:p>
      <w:pPr>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br w:type="page"/>
      </w:r>
    </w:p>
    <w:p>
      <w:pPr>
        <w:pStyle w:val="177"/>
        <w:keepNext w:val="0"/>
        <w:keepLines w:val="0"/>
        <w:pageBreakBefore w:val="0"/>
        <w:widowControl w:val="0"/>
        <w:kinsoku/>
        <w:wordWrap/>
        <w:overflowPunct/>
        <w:topLinePunct w:val="0"/>
        <w:autoSpaceDE/>
        <w:autoSpaceDN/>
        <w:bidi w:val="0"/>
        <w:adjustRightInd/>
        <w:snapToGrid/>
        <w:spacing w:line="360" w:lineRule="auto"/>
        <w:ind w:left="6720" w:leftChars="100" w:hanging="6480" w:hangingChars="2700"/>
        <w:textAlignment w:val="auto"/>
        <w:rPr>
          <w:rFonts w:hint="eastAsia" w:ascii="宋体" w:hAnsi="宋体" w:eastAsia="宋体" w:cs="宋体"/>
          <w:color w:val="auto"/>
          <w:sz w:val="24"/>
          <w:szCs w:val="24"/>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联合体协议书</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u w:val="single"/>
        </w:rPr>
      </w:pPr>
      <w:r>
        <w:rPr>
          <w:rFonts w:hint="eastAsia" w:ascii="宋体" w:hAnsi="宋体" w:eastAsia="宋体" w:cs="宋体"/>
          <w:sz w:val="24"/>
          <w:szCs w:val="24"/>
        </w:rPr>
        <w:t>牵头人（成员一）名称：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法定住所：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成员二名称：</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法定住所：</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r>
        <w:rPr>
          <w:rFonts w:hint="eastAsia" w:ascii="宋体" w:hAnsi="宋体" w:eastAsia="宋体" w:cs="宋体"/>
          <w:sz w:val="24"/>
          <w:szCs w:val="24"/>
        </w:rPr>
        <w:t>鉴于上述各成员单位经过友好协商，自愿组成联合体，共同参加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（招标人名称）（以下简称招标人）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（招标项目名称）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标段（以 下简称本工程）的施工投标并争取赢得本工程施工承包合同（以下简称合同）。现就联合体投标事 </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宜订立如下协议： </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公司为本联合体牵头人。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 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 联合体将严格按照招标文件的各项要求，递交投标文件，履行投标义务和中标后的合同， 共同承担合同规定的一切义务和责任，联合体各成员单位按照内部职责的部分，承担各自所负的责 任和风险，并向招标人承担连带责任。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投标工作和联合体在中标后工程实施过程中的有关费用按各自承担的工作量分摊。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联合体中标后，本联合体协议是合同的附件，对联合体各成员单位有合同约束力。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本协议书自签署之日起生效，联合体未中标或者合同履行完毕后自动失效。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本协议书一式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份，联合体成员和招标人各执一份。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牵头人（成员一）名称：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（盖单位章）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（签字或盖章）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成员二名称：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（盖单位章）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（签字或盖章）</w:t>
      </w:r>
    </w:p>
    <w:p>
      <w:pPr>
        <w:keepNext w:val="0"/>
        <w:keepLines w:val="0"/>
        <w:pageBreakBefore w:val="0"/>
        <w:widowControl w:val="0"/>
        <w:kinsoku/>
        <w:wordWrap/>
        <w:overflowPunct/>
        <w:topLinePunct w:val="0"/>
        <w:autoSpaceDE/>
        <w:autoSpaceDN/>
        <w:bidi w:val="0"/>
        <w:adjustRightInd/>
        <w:snapToGrid/>
        <w:spacing w:line="440" w:lineRule="atLeast"/>
        <w:ind w:firstLine="6240" w:firstLineChars="2600"/>
        <w:textAlignment w:val="auto"/>
        <w:rPr>
          <w:rFonts w:hint="eastAsia"/>
        </w:rPr>
      </w:pPr>
      <w:r>
        <w:rPr>
          <w:rFonts w:hint="eastAsia"/>
        </w:rPr>
        <w:t xml:space="preserve">年 </w:t>
      </w:r>
      <w:r>
        <w:rPr>
          <w:rFonts w:hint="eastAsia" w:eastAsia="宋体"/>
          <w:lang w:val="en-US" w:eastAsia="zh-CN"/>
        </w:rPr>
        <w:t xml:space="preserve">  </w:t>
      </w:r>
      <w:r>
        <w:rPr>
          <w:rFonts w:hint="eastAsia"/>
        </w:rPr>
        <w:t>月</w:t>
      </w:r>
      <w:r>
        <w:rPr>
          <w:rFonts w:hint="eastAsia" w:eastAsia="宋体"/>
          <w:lang w:val="en-US" w:eastAsia="zh-CN"/>
        </w:rPr>
        <w:t xml:space="preserve"> </w:t>
      </w:r>
      <w:r>
        <w:rPr>
          <w:rFonts w:hint="eastAsia"/>
        </w:rPr>
        <w:t xml:space="preserve"> </w:t>
      </w:r>
      <w:r>
        <w:rPr>
          <w:rFonts w:hint="eastAsia" w:eastAsia="宋体"/>
          <w:lang w:val="en-US" w:eastAsia="zh-CN"/>
        </w:rPr>
        <w:t xml:space="preserve"> </w:t>
      </w:r>
      <w:r>
        <w:rPr>
          <w:rFonts w:hint="eastAsia"/>
        </w:rPr>
        <w:t>日</w:t>
      </w: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lang w:val="en-US" w:eastAsia="zh-CN"/>
        </w:rPr>
      </w:pP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、法定代表人身份证明</w:t>
      </w:r>
    </w:p>
    <w:p>
      <w:pPr>
        <w:pStyle w:val="2"/>
        <w:keepNext w:val="0"/>
        <w:keepLines w:val="0"/>
        <w:spacing w:before="0" w:beforeLines="0" w:after="0" w:afterLines="0" w:line="560" w:lineRule="exact"/>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（投标人名称）的法定代表人。</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bookmarkStart w:id="30" w:name="_Toc246996360"/>
      <w:bookmarkStart w:id="31" w:name="_Toc179632812"/>
      <w:bookmarkStart w:id="32" w:name="_Toc152045792"/>
      <w:bookmarkStart w:id="33" w:name="_Toc144974861"/>
      <w:bookmarkStart w:id="34" w:name="_Toc152042581"/>
      <w:bookmarkStart w:id="35" w:name="_Toc246997103"/>
      <w:bookmarkStart w:id="36" w:name="_Toc247085878"/>
      <w:bookmarkStart w:id="37" w:name="_Toc329851856"/>
      <w:r>
        <w:rPr>
          <w:rFonts w:hint="eastAsia" w:ascii="宋体" w:hAnsi="宋体" w:eastAsia="宋体" w:cs="宋体"/>
          <w:color w:val="auto"/>
          <w:sz w:val="24"/>
          <w:szCs w:val="24"/>
        </w:rPr>
        <w:t xml:space="preserve">        </w:t>
      </w:r>
    </w:p>
    <w:p>
      <w:pPr>
        <w:pStyle w:val="2"/>
        <w:keepNext w:val="0"/>
        <w:keepLines w:val="0"/>
        <w:spacing w:before="0" w:beforeLines="0" w:after="0" w:afterLines="0" w:line="560" w:lineRule="exact"/>
        <w:ind w:firstLine="482" w:firstLineChars="200"/>
        <w:rPr>
          <w:rFonts w:hint="eastAsia" w:ascii="宋体" w:hAnsi="宋体" w:eastAsia="宋体" w:cs="宋体"/>
          <w:color w:val="auto"/>
          <w:sz w:val="24"/>
          <w:szCs w:val="24"/>
        </w:rPr>
      </w:pPr>
    </w:p>
    <w:p>
      <w:pPr>
        <w:pStyle w:val="2"/>
        <w:keepNext w:val="0"/>
        <w:keepLines w:val="0"/>
        <w:spacing w:before="0" w:beforeLines="0" w:after="0" w:afterLines="0"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color w:val="auto"/>
          <w:sz w:val="24"/>
          <w:szCs w:val="24"/>
        </w:rPr>
      </w:pPr>
    </w:p>
    <w:p>
      <w:pPr>
        <w:topLinePunct/>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（姓名）为我方代理人。代理人根据授权，以我方名义签署、澄清、说明、补正、递交、撤回、修改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（项目名称）投标文件、签订合同和处理有关事宜，其法律后果由我方承担。</w:t>
      </w:r>
    </w:p>
    <w:p>
      <w:pPr>
        <w:spacing w:line="56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委托期限：</w:t>
      </w:r>
      <w:r>
        <w:rPr>
          <w:rFonts w:hint="eastAsia" w:ascii="宋体" w:hAnsi="宋体" w:eastAsia="宋体" w:cs="宋体"/>
          <w:b/>
          <w:bCs/>
          <w:color w:val="auto"/>
          <w:sz w:val="24"/>
          <w:szCs w:val="24"/>
          <w:u w:val="single"/>
          <w:lang w:val="en-US" w:eastAsia="zh-CN"/>
        </w:rPr>
        <w:t>自本项目投标截止日起至本项目合同签订结束止</w:t>
      </w:r>
      <w:r>
        <w:rPr>
          <w:rFonts w:hint="eastAsia" w:ascii="宋体" w:hAnsi="宋体" w:eastAsia="宋体" w:cs="宋体"/>
          <w:b/>
          <w:bCs/>
          <w:color w:val="auto"/>
          <w:sz w:val="24"/>
          <w:szCs w:val="24"/>
        </w:rPr>
        <w:t>。</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附：法定代表人身份证明（附法人身份证和委托代理人身份证复印件）</w:t>
      </w: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（签字或盖章）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560" w:lineRule="exact"/>
        <w:ind w:firstLine="1920" w:firstLineChars="8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560" w:lineRule="exact"/>
        <w:ind w:firstLine="480" w:firstLineChars="200"/>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rPr>
      </w:pPr>
    </w:p>
    <w:p>
      <w:pPr>
        <w:spacing w:line="560" w:lineRule="exact"/>
        <w:ind w:firstLine="0" w:firstLineChars="0"/>
        <w:rPr>
          <w:rFonts w:hint="eastAsia"/>
        </w:rPr>
      </w:pPr>
      <w:r>
        <w:rPr>
          <w:rFonts w:hint="eastAsia" w:ascii="宋体" w:hAnsi="宋体" w:eastAsia="宋体" w:cs="宋体"/>
          <w:b/>
          <w:bCs/>
          <w:color w:val="auto"/>
          <w:sz w:val="24"/>
          <w:szCs w:val="24"/>
          <w:lang w:val="en-US" w:eastAsia="zh-CN"/>
        </w:rPr>
        <w:t>后</w:t>
      </w:r>
      <w:r>
        <w:rPr>
          <w:rFonts w:hint="eastAsia" w:ascii="宋体" w:hAnsi="宋体" w:eastAsia="宋体" w:cs="宋体"/>
          <w:b/>
          <w:bCs/>
          <w:color w:val="auto"/>
          <w:sz w:val="24"/>
          <w:szCs w:val="24"/>
        </w:rPr>
        <w:t>附：法定代表人身份证明（附法人身份证和委托代理人身份证复印件）</w:t>
      </w:r>
    </w:p>
    <w:p>
      <w:pPr>
        <w:numPr>
          <w:ilvl w:val="0"/>
          <w:numId w:val="0"/>
        </w:numPr>
        <w:ind w:leftChars="0"/>
        <w:jc w:val="both"/>
        <w:rPr>
          <w:rFonts w:hint="eastAsia" w:ascii="宋体" w:hAnsi="宋体" w:eastAsia="宋体" w:cs="宋体"/>
          <w:b/>
          <w:bCs/>
          <w:color w:val="auto"/>
          <w:kern w:val="2"/>
          <w:sz w:val="24"/>
          <w:szCs w:val="24"/>
          <w:lang w:eastAsia="zh-CN" w:bidi="ar-SA"/>
        </w:rPr>
      </w:pPr>
    </w:p>
    <w:p>
      <w:pPr>
        <w:numPr>
          <w:ilvl w:val="0"/>
          <w:numId w:val="0"/>
        </w:numPr>
        <w:ind w:leftChars="0" w:firstLine="2891" w:firstLineChars="1200"/>
        <w:jc w:val="both"/>
        <w:rPr>
          <w:rFonts w:hint="eastAsia" w:ascii="宋体" w:hAnsi="宋体" w:eastAsia="宋体" w:cs="宋体"/>
          <w:b/>
          <w:bCs/>
          <w:kern w:val="2"/>
          <w:sz w:val="24"/>
          <w:szCs w:val="24"/>
          <w:lang w:eastAsia="zh-CN" w:bidi="ar-SA"/>
        </w:rPr>
      </w:pPr>
      <w:r>
        <w:rPr>
          <w:rFonts w:hint="eastAsia" w:ascii="宋体" w:hAnsi="宋体" w:eastAsia="宋体" w:cs="宋体"/>
          <w:b/>
          <w:bCs/>
          <w:kern w:val="2"/>
          <w:sz w:val="24"/>
          <w:szCs w:val="24"/>
          <w:lang w:val="en-US" w:eastAsia="zh-CN" w:bidi="ar-SA"/>
        </w:rPr>
        <w:t>五、</w:t>
      </w:r>
      <w:r>
        <w:rPr>
          <w:rFonts w:hint="eastAsia" w:ascii="宋体" w:hAnsi="宋体" w:eastAsia="宋体" w:cs="宋体"/>
          <w:b/>
          <w:bCs/>
          <w:kern w:val="2"/>
          <w:sz w:val="24"/>
          <w:szCs w:val="24"/>
          <w:lang w:eastAsia="zh-CN" w:bidi="ar-SA"/>
        </w:rPr>
        <w:t>本项目报价表</w:t>
      </w:r>
    </w:p>
    <w:p>
      <w:pPr>
        <w:numPr>
          <w:ilvl w:val="0"/>
          <w:numId w:val="0"/>
        </w:numPr>
        <w:ind w:leftChars="0" w:firstLine="1928" w:firstLineChars="800"/>
        <w:jc w:val="both"/>
        <w:rPr>
          <w:rFonts w:hint="eastAsia" w:ascii="宋体" w:hAnsi="宋体" w:eastAsia="宋体" w:cs="宋体"/>
          <w:b/>
          <w:bCs/>
          <w:kern w:val="2"/>
          <w:sz w:val="24"/>
          <w:szCs w:val="24"/>
          <w:lang w:val="en-US" w:eastAsia="zh-CN" w:bidi="ar-SA"/>
        </w:rPr>
      </w:pPr>
    </w:p>
    <w:tbl>
      <w:tblPr>
        <w:tblStyle w:val="45"/>
        <w:tblW w:w="8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1"/>
        <w:gridCol w:w="3037"/>
        <w:gridCol w:w="819"/>
        <w:gridCol w:w="1286"/>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序号</w:t>
            </w:r>
          </w:p>
        </w:tc>
        <w:tc>
          <w:tcPr>
            <w:tcW w:w="30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项目名称</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单位</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投标报价折扣率</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val="en-US" w:eastAsia="zh-CN"/>
              </w:rPr>
            </w:pPr>
            <w:r>
              <w:rPr>
                <w:rFonts w:hint="eastAsia"/>
                <w:lang w:val="en-US" w:eastAsia="zh-CN"/>
              </w:rPr>
              <w:t>1</w:t>
            </w:r>
          </w:p>
        </w:tc>
        <w:tc>
          <w:tcPr>
            <w:tcW w:w="30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ascii="宋体" w:hAnsi="宋体" w:eastAsia="宋体" w:cs="宋体"/>
                <w:color w:val="auto"/>
                <w:sz w:val="24"/>
                <w:szCs w:val="24"/>
                <w:u w:val="none"/>
                <w:lang w:val="en-US" w:eastAsia="zh-CN"/>
              </w:rPr>
              <w:t>宁国市河沥文化街区EPC项目夜景亮化专业分包工程</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sz w:val="24"/>
                <w:szCs w:val="24"/>
                <w:lang w:val="en-US" w:eastAsia="zh-CN"/>
              </w:rPr>
              <w:t>%</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color w:val="000000"/>
                <w:sz w:val="24"/>
                <w:szCs w:val="24"/>
                <w:lang w:val="en-US" w:eastAsia="zh-CN"/>
              </w:rPr>
              <w:t>说明：1、一经报价，投标报价折扣率不予调整。</w:t>
            </w:r>
          </w:p>
        </w:tc>
      </w:tr>
    </w:tbl>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0" w:firstLineChars="0"/>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投标人（公章）:</w:t>
      </w:r>
      <w:r>
        <w:rPr>
          <w:rFonts w:hint="eastAsia" w:ascii="宋体" w:hAnsi="宋体" w:eastAsia="宋体" w:cs="宋体"/>
          <w:b w:val="0"/>
          <w:bCs/>
          <w:color w:val="auto"/>
          <w:sz w:val="24"/>
          <w:szCs w:val="24"/>
          <w:u w:val="single"/>
          <w:lang w:val="en-US" w:eastAsia="zh-CN"/>
        </w:rPr>
        <w:t xml:space="preserve">                               </w:t>
      </w:r>
    </w:p>
    <w:p>
      <w:pPr>
        <w:pStyle w:val="43"/>
        <w:rPr>
          <w:rFonts w:hint="default"/>
          <w:lang w:val="en-US" w:eastAsia="zh-CN"/>
        </w:rPr>
      </w:pPr>
    </w:p>
    <w:p>
      <w:pPr>
        <w:ind w:firstLine="0" w:firstLineChars="0"/>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法定代表人（签字或签章）：</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pPr>
        <w:rPr>
          <w:rFonts w:hint="default"/>
          <w:lang w:val="en-US" w:eastAsia="zh-CN"/>
        </w:rPr>
      </w:pPr>
    </w:p>
    <w:p>
      <w:pPr>
        <w:jc w:val="both"/>
        <w:rPr>
          <w:rFonts w:hint="default" w:ascii="宋体" w:hAnsi="宋体" w:eastAsia="宋体" w:cs="宋体"/>
          <w:b/>
          <w:color w:val="auto"/>
          <w:sz w:val="24"/>
          <w:szCs w:val="24"/>
          <w:u w:val="single"/>
          <w:lang w:val="en-US" w:eastAsia="zh-CN"/>
        </w:rPr>
      </w:pPr>
      <w:r>
        <w:rPr>
          <w:rFonts w:hint="eastAsia" w:ascii="宋体" w:hAnsi="宋体" w:eastAsia="宋体" w:cs="宋体"/>
          <w:b w:val="0"/>
          <w:bCs/>
          <w:color w:val="auto"/>
          <w:sz w:val="24"/>
          <w:szCs w:val="24"/>
          <w:lang w:val="en-US" w:eastAsia="zh-CN"/>
        </w:rPr>
        <w:t>日期：</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年</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月</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日</w:t>
      </w:r>
    </w:p>
    <w:p>
      <w:pPr>
        <w:spacing w:before="240" w:beforeLines="0" w:after="480" w:afterLines="0" w:line="500" w:lineRule="exact"/>
        <w:jc w:val="center"/>
        <w:rPr>
          <w:rFonts w:hint="eastAsia" w:ascii="宋体" w:hAnsi="宋体" w:eastAsia="宋体" w:cs="宋体"/>
          <w:b/>
          <w:color w:val="auto"/>
          <w:sz w:val="24"/>
          <w:szCs w:val="24"/>
          <w:lang w:eastAsia="zh-CN"/>
        </w:rPr>
      </w:pPr>
    </w:p>
    <w:p>
      <w:pPr>
        <w:spacing w:before="240" w:beforeLines="0" w:after="480" w:afterLines="0" w:line="500" w:lineRule="exact"/>
        <w:jc w:val="center"/>
        <w:rPr>
          <w:rFonts w:hint="eastAsia" w:ascii="宋体" w:hAnsi="宋体" w:eastAsia="宋体" w:cs="宋体"/>
          <w:b/>
          <w:color w:val="auto"/>
          <w:sz w:val="24"/>
          <w:szCs w:val="24"/>
          <w:lang w:eastAsia="zh-CN"/>
        </w:rPr>
      </w:pPr>
    </w:p>
    <w:p>
      <w:pPr>
        <w:spacing w:before="240" w:beforeLines="0" w:after="480" w:afterLines="0" w:line="500" w:lineRule="exact"/>
        <w:jc w:val="center"/>
        <w:rPr>
          <w:rFonts w:hint="eastAsia" w:ascii="宋体" w:hAnsi="宋体" w:eastAsia="宋体" w:cs="宋体"/>
          <w:b/>
          <w:color w:val="auto"/>
          <w:sz w:val="24"/>
          <w:szCs w:val="24"/>
          <w:lang w:eastAsia="zh-CN"/>
        </w:rPr>
      </w:pPr>
    </w:p>
    <w:p>
      <w:pPr>
        <w:spacing w:before="240" w:beforeLines="0" w:after="480" w:afterLines="0" w:line="500" w:lineRule="exact"/>
        <w:jc w:val="center"/>
        <w:rPr>
          <w:rFonts w:hint="eastAsia" w:ascii="宋体" w:hAnsi="宋体" w:eastAsia="宋体" w:cs="宋体"/>
          <w:b/>
          <w:color w:val="auto"/>
          <w:sz w:val="24"/>
          <w:szCs w:val="24"/>
          <w:lang w:eastAsia="zh-CN"/>
        </w:rPr>
      </w:pPr>
    </w:p>
    <w:p>
      <w:pPr>
        <w:pStyle w:val="2"/>
        <w:rPr>
          <w:rFonts w:hint="eastAsia" w:ascii="宋体" w:hAnsi="宋体" w:eastAsia="宋体" w:cs="宋体"/>
          <w:b/>
          <w:color w:val="auto"/>
          <w:sz w:val="24"/>
          <w:szCs w:val="24"/>
          <w:lang w:eastAsia="zh-CN"/>
        </w:rPr>
      </w:pPr>
    </w:p>
    <w:p>
      <w:pPr>
        <w:rPr>
          <w:rFonts w:hint="eastAsia" w:ascii="宋体" w:hAnsi="宋体" w:eastAsia="宋体" w:cs="宋体"/>
          <w:b/>
          <w:color w:val="auto"/>
          <w:sz w:val="24"/>
          <w:szCs w:val="24"/>
          <w:lang w:eastAsia="zh-CN"/>
        </w:rPr>
      </w:pPr>
    </w:p>
    <w:p>
      <w:pPr>
        <w:spacing w:before="240" w:beforeLines="0" w:after="480" w:afterLines="0" w:line="500" w:lineRule="exact"/>
        <w:jc w:val="both"/>
        <w:rPr>
          <w:rFonts w:hint="eastAsia" w:ascii="宋体" w:hAnsi="宋体" w:eastAsia="宋体" w:cs="宋体"/>
          <w:b/>
          <w:color w:val="auto"/>
          <w:sz w:val="24"/>
          <w:szCs w:val="24"/>
          <w:lang w:val="en-US" w:eastAsia="zh-CN"/>
        </w:rPr>
      </w:pPr>
    </w:p>
    <w:p>
      <w:pPr>
        <w:spacing w:before="240" w:beforeLines="0" w:after="480" w:afterLines="0" w:line="500" w:lineRule="exact"/>
        <w:jc w:val="both"/>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 xml:space="preserve">                      六</w:t>
      </w:r>
      <w:r>
        <w:rPr>
          <w:rFonts w:hint="eastAsia" w:ascii="宋体" w:hAnsi="宋体" w:eastAsia="宋体" w:cs="宋体"/>
          <w:b/>
          <w:color w:val="auto"/>
          <w:sz w:val="24"/>
          <w:szCs w:val="24"/>
        </w:rPr>
        <w:t>、投标人一般情况表</w:t>
      </w:r>
    </w:p>
    <w:tbl>
      <w:tblPr>
        <w:tblStyle w:val="44"/>
        <w:tblpPr w:leftFromText="180" w:rightFromText="180" w:vertAnchor="text" w:horzAnchor="page" w:tblpX="1505" w:tblpY="26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951"/>
        <w:gridCol w:w="209"/>
        <w:gridCol w:w="773"/>
        <w:gridCol w:w="278"/>
        <w:gridCol w:w="178"/>
        <w:gridCol w:w="777"/>
        <w:gridCol w:w="125"/>
        <w:gridCol w:w="521"/>
        <w:gridCol w:w="221"/>
        <w:gridCol w:w="833"/>
        <w:gridCol w:w="405"/>
        <w:gridCol w:w="39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投标人全称</w:t>
            </w:r>
          </w:p>
        </w:tc>
        <w:tc>
          <w:tcPr>
            <w:tcW w:w="2389" w:type="dxa"/>
            <w:gridSpan w:val="5"/>
            <w:noWrap w:val="0"/>
            <w:vAlign w:val="top"/>
          </w:tcPr>
          <w:p>
            <w:pPr>
              <w:pStyle w:val="24"/>
              <w:spacing w:line="500" w:lineRule="exact"/>
              <w:rPr>
                <w:rFonts w:hint="eastAsia" w:ascii="宋体" w:hAnsi="宋体" w:eastAsia="宋体" w:cs="宋体"/>
                <w:color w:val="auto"/>
                <w:sz w:val="24"/>
                <w:szCs w:val="24"/>
              </w:rPr>
            </w:pPr>
          </w:p>
        </w:tc>
        <w:tc>
          <w:tcPr>
            <w:tcW w:w="1423"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企业类型</w:t>
            </w:r>
          </w:p>
        </w:tc>
        <w:tc>
          <w:tcPr>
            <w:tcW w:w="3471" w:type="dxa"/>
            <w:gridSpan w:val="5"/>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7283" w:type="dxa"/>
            <w:gridSpan w:val="13"/>
            <w:noWrap w:val="0"/>
            <w:vAlign w:val="center"/>
          </w:tcPr>
          <w:p>
            <w:pPr>
              <w:pStyle w:val="24"/>
              <w:numPr>
                <w:ilvl w:val="0"/>
                <w:numId w:val="11"/>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主营业务：             2、编号：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w:t>
            </w:r>
          </w:p>
        </w:tc>
        <w:tc>
          <w:tcPr>
            <w:tcW w:w="7283" w:type="dxa"/>
            <w:gridSpan w:val="13"/>
            <w:noWrap w:val="0"/>
            <w:vAlign w:val="center"/>
          </w:tcPr>
          <w:p>
            <w:pPr>
              <w:pStyle w:val="24"/>
              <w:numPr>
                <w:ilvl w:val="0"/>
                <w:numId w:val="12"/>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等级：                 2、证书号：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企业成立日期</w:t>
            </w:r>
          </w:p>
        </w:tc>
        <w:tc>
          <w:tcPr>
            <w:tcW w:w="951" w:type="dxa"/>
            <w:noWrap w:val="0"/>
            <w:vAlign w:val="center"/>
          </w:tcPr>
          <w:p>
            <w:pPr>
              <w:pStyle w:val="24"/>
              <w:spacing w:line="500" w:lineRule="exact"/>
              <w:jc w:val="center"/>
              <w:rPr>
                <w:rFonts w:hint="eastAsia" w:ascii="宋体" w:hAnsi="宋体" w:eastAsia="宋体" w:cs="宋体"/>
                <w:color w:val="auto"/>
                <w:sz w:val="24"/>
                <w:szCs w:val="24"/>
              </w:rPr>
            </w:pPr>
          </w:p>
        </w:tc>
        <w:tc>
          <w:tcPr>
            <w:tcW w:w="1260"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注册资本（万元）</w:t>
            </w:r>
          </w:p>
        </w:tc>
        <w:tc>
          <w:tcPr>
            <w:tcW w:w="1080" w:type="dxa"/>
            <w:gridSpan w:val="3"/>
            <w:noWrap w:val="0"/>
            <w:vAlign w:val="top"/>
          </w:tcPr>
          <w:p>
            <w:pPr>
              <w:pStyle w:val="24"/>
              <w:spacing w:line="500" w:lineRule="exact"/>
              <w:rPr>
                <w:rFonts w:hint="eastAsia" w:ascii="宋体" w:hAnsi="宋体" w:eastAsia="宋体" w:cs="宋体"/>
                <w:color w:val="auto"/>
                <w:sz w:val="24"/>
                <w:szCs w:val="24"/>
              </w:rPr>
            </w:pPr>
          </w:p>
        </w:tc>
        <w:tc>
          <w:tcPr>
            <w:tcW w:w="1980" w:type="dxa"/>
            <w:gridSpan w:val="4"/>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现有职工总人数</w:t>
            </w:r>
          </w:p>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（人）</w:t>
            </w:r>
          </w:p>
        </w:tc>
        <w:tc>
          <w:tcPr>
            <w:tcW w:w="2012" w:type="dxa"/>
            <w:gridSpan w:val="2"/>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7283" w:type="dxa"/>
            <w:gridSpan w:val="13"/>
            <w:noWrap w:val="0"/>
            <w:vAlign w:val="top"/>
          </w:tcPr>
          <w:p>
            <w:pPr>
              <w:pStyle w:val="24"/>
              <w:numPr>
                <w:ilvl w:val="0"/>
                <w:numId w:val="13"/>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7283" w:type="dxa"/>
            <w:gridSpan w:val="13"/>
            <w:noWrap w:val="0"/>
            <w:vAlign w:val="top"/>
          </w:tcPr>
          <w:p>
            <w:pPr>
              <w:pStyle w:val="24"/>
              <w:numPr>
                <w:ilvl w:val="0"/>
                <w:numId w:val="14"/>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财务负责人</w:t>
            </w:r>
          </w:p>
        </w:tc>
        <w:tc>
          <w:tcPr>
            <w:tcW w:w="7283" w:type="dxa"/>
            <w:gridSpan w:val="13"/>
            <w:noWrap w:val="0"/>
            <w:vAlign w:val="top"/>
          </w:tcPr>
          <w:p>
            <w:pPr>
              <w:pStyle w:val="24"/>
              <w:numPr>
                <w:ilvl w:val="0"/>
                <w:numId w:val="15"/>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7283" w:type="dxa"/>
            <w:gridSpan w:val="13"/>
            <w:noWrap w:val="0"/>
            <w:vAlign w:val="top"/>
          </w:tcPr>
          <w:p>
            <w:pPr>
              <w:pStyle w:val="24"/>
              <w:numPr>
                <w:ilvl w:val="0"/>
                <w:numId w:val="16"/>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企业地址</w:t>
            </w:r>
          </w:p>
        </w:tc>
        <w:tc>
          <w:tcPr>
            <w:tcW w:w="1160" w:type="dxa"/>
            <w:gridSpan w:val="2"/>
            <w:noWrap w:val="0"/>
            <w:vAlign w:val="top"/>
          </w:tcPr>
          <w:p>
            <w:pPr>
              <w:pStyle w:val="24"/>
              <w:spacing w:line="500" w:lineRule="exact"/>
              <w:rPr>
                <w:rFonts w:hint="eastAsia" w:ascii="宋体" w:hAnsi="宋体" w:eastAsia="宋体" w:cs="宋体"/>
                <w:color w:val="auto"/>
                <w:sz w:val="24"/>
                <w:szCs w:val="24"/>
              </w:rPr>
            </w:pPr>
          </w:p>
        </w:tc>
        <w:tc>
          <w:tcPr>
            <w:tcW w:w="773"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邮编</w:t>
            </w:r>
          </w:p>
        </w:tc>
        <w:tc>
          <w:tcPr>
            <w:tcW w:w="1233" w:type="dxa"/>
            <w:gridSpan w:val="3"/>
            <w:noWrap w:val="0"/>
            <w:vAlign w:val="top"/>
          </w:tcPr>
          <w:p>
            <w:pPr>
              <w:pStyle w:val="24"/>
              <w:spacing w:line="500" w:lineRule="exact"/>
              <w:rPr>
                <w:rFonts w:hint="eastAsia" w:ascii="宋体" w:hAnsi="宋体" w:eastAsia="宋体" w:cs="宋体"/>
                <w:color w:val="auto"/>
                <w:sz w:val="24"/>
                <w:szCs w:val="24"/>
              </w:rPr>
            </w:pPr>
          </w:p>
        </w:tc>
        <w:tc>
          <w:tcPr>
            <w:tcW w:w="867"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833" w:type="dxa"/>
            <w:noWrap w:val="0"/>
            <w:vAlign w:val="top"/>
          </w:tcPr>
          <w:p>
            <w:pPr>
              <w:pStyle w:val="24"/>
              <w:spacing w:line="500" w:lineRule="exact"/>
              <w:rPr>
                <w:rFonts w:hint="eastAsia" w:ascii="宋体" w:hAnsi="宋体" w:eastAsia="宋体" w:cs="宋体"/>
                <w:color w:val="auto"/>
                <w:sz w:val="24"/>
                <w:szCs w:val="24"/>
              </w:rPr>
            </w:pPr>
          </w:p>
        </w:tc>
        <w:tc>
          <w:tcPr>
            <w:tcW w:w="800" w:type="dxa"/>
            <w:gridSpan w:val="2"/>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617"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667" w:type="dxa"/>
            <w:noWrap w:val="0"/>
            <w:vAlign w:val="center"/>
          </w:tcPr>
          <w:p>
            <w:pPr>
              <w:pStyle w:val="24"/>
              <w:spacing w:line="500" w:lineRule="exact"/>
              <w:rPr>
                <w:rFonts w:hint="eastAsia" w:ascii="宋体" w:hAnsi="宋体" w:eastAsia="宋体" w:cs="宋体"/>
                <w:color w:val="auto"/>
                <w:sz w:val="24"/>
                <w:szCs w:val="24"/>
              </w:rPr>
            </w:pP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企</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业</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简</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介</w:t>
            </w:r>
          </w:p>
        </w:tc>
        <w:tc>
          <w:tcPr>
            <w:tcW w:w="7283" w:type="dxa"/>
            <w:gridSpan w:val="13"/>
            <w:noWrap w:val="0"/>
            <w:vAlign w:val="top"/>
          </w:tcPr>
          <w:p>
            <w:pPr>
              <w:pStyle w:val="24"/>
              <w:spacing w:line="500" w:lineRule="exact"/>
              <w:rPr>
                <w:rFonts w:hint="eastAsia" w:ascii="宋体" w:hAnsi="宋体" w:eastAsia="宋体" w:cs="宋体"/>
                <w:color w:val="auto"/>
                <w:sz w:val="24"/>
                <w:szCs w:val="24"/>
              </w:rPr>
            </w:pPr>
          </w:p>
        </w:tc>
      </w:tr>
    </w:tbl>
    <w:p>
      <w:pPr>
        <w:jc w:val="both"/>
        <w:outlineLvl w:val="0"/>
        <w:rPr>
          <w:rFonts w:hint="eastAsia" w:ascii="宋体" w:hAnsi="宋体" w:eastAsia="宋体" w:cs="宋体"/>
          <w:color w:val="auto"/>
          <w:sz w:val="24"/>
          <w:szCs w:val="24"/>
        </w:rPr>
      </w:pPr>
    </w:p>
    <w:p>
      <w:pPr>
        <w:tabs>
          <w:tab w:val="center" w:pos="4629"/>
        </w:tabs>
        <w:spacing w:before="240" w:beforeLines="0" w:after="480" w:afterLines="0" w:line="500" w:lineRule="exact"/>
        <w:jc w:val="center"/>
        <w:rPr>
          <w:rFonts w:hint="eastAsia" w:ascii="宋体" w:hAnsi="宋体" w:eastAsia="宋体" w:cs="宋体"/>
          <w:color w:val="auto"/>
          <w:sz w:val="24"/>
          <w:szCs w:val="24"/>
          <w:u w:val="single"/>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、拟投入本项目组的工作人员汇总表</w:t>
      </w:r>
    </w:p>
    <w:tbl>
      <w:tblPr>
        <w:tblStyle w:val="44"/>
        <w:tblW w:w="8133"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408"/>
        <w:gridCol w:w="3245"/>
        <w:gridCol w:w="1100"/>
      </w:tblGrid>
      <w:tr>
        <w:tblPrEx>
          <w:tblCellMar>
            <w:top w:w="0" w:type="dxa"/>
            <w:left w:w="108" w:type="dxa"/>
            <w:bottom w:w="0" w:type="dxa"/>
            <w:right w:w="108" w:type="dxa"/>
          </w:tblCellMar>
        </w:tblPrEx>
        <w:trPr>
          <w:trHeight w:val="1016"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1408"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3245" w:type="dxa"/>
            <w:noWrap w:val="0"/>
            <w:vAlign w:val="center"/>
          </w:tcPr>
          <w:p>
            <w:pPr>
              <w:pStyle w:val="24"/>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执业注册资格</w:t>
            </w:r>
            <w:r>
              <w:rPr>
                <w:rFonts w:hint="eastAsia" w:ascii="宋体" w:hAnsi="宋体" w:eastAsia="宋体" w:cs="宋体"/>
                <w:color w:val="auto"/>
                <w:sz w:val="24"/>
                <w:szCs w:val="24"/>
                <w:lang w:val="en-US" w:eastAsia="zh-CN"/>
              </w:rPr>
              <w:t>或职称</w:t>
            </w:r>
          </w:p>
        </w:tc>
        <w:tc>
          <w:tcPr>
            <w:tcW w:w="1100" w:type="dxa"/>
            <w:noWrap w:val="0"/>
            <w:vAlign w:val="center"/>
          </w:tcPr>
          <w:p>
            <w:pPr>
              <w:pStyle w:val="24"/>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eastAsia="zh-CN"/>
              </w:rPr>
            </w:pPr>
            <w:r>
              <w:rPr>
                <w:rFonts w:hint="eastAsia" w:hAnsi="宋体" w:cs="宋体"/>
                <w:color w:val="auto"/>
                <w:sz w:val="24"/>
                <w:szCs w:val="24"/>
                <w:lang w:val="en-US" w:eastAsia="zh-CN"/>
              </w:rPr>
              <w:t>1</w:t>
            </w:r>
            <w:r>
              <w:rPr>
                <w:rFonts w:hint="eastAsia" w:ascii="宋体" w:hAnsi="宋体" w:eastAsia="宋体" w:cs="宋体"/>
                <w:color w:val="auto"/>
                <w:sz w:val="24"/>
                <w:szCs w:val="24"/>
              </w:rPr>
              <w:t>、</w:t>
            </w:r>
            <w:r>
              <w:rPr>
                <w:rFonts w:hint="eastAsia" w:hAnsi="宋体" w:cs="宋体"/>
                <w:color w:val="auto"/>
                <w:sz w:val="24"/>
                <w:szCs w:val="24"/>
                <w:lang w:val="en-US" w:eastAsia="zh-CN"/>
              </w:rPr>
              <w:t>项目经理</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技术负责人</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3</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安全员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施工员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left"/>
              <w:rPr>
                <w:rFonts w:hint="eastAsia" w:ascii="宋体" w:hAnsi="宋体" w:eastAsia="宋体" w:cs="宋体"/>
                <w:color w:val="auto"/>
                <w:sz w:val="24"/>
                <w:szCs w:val="24"/>
              </w:rPr>
            </w:pPr>
            <w:r>
              <w:rPr>
                <w:rFonts w:hint="eastAsia"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质量员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bl>
    <w:p>
      <w:pPr>
        <w:spacing w:before="240" w:beforeLines="0" w:after="480" w:afterLines="0"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投标人： (盖单位公章)</w:t>
      </w:r>
    </w:p>
    <w:p>
      <w:pPr>
        <w:tabs>
          <w:tab w:val="center" w:pos="4629"/>
        </w:tabs>
        <w:spacing w:before="240" w:beforeLines="0" w:after="480" w:afterLines="0" w:line="500" w:lineRule="exact"/>
        <w:jc w:val="center"/>
        <w:rPr>
          <w:rFonts w:hint="eastAsia" w:ascii="宋体" w:hAnsi="宋体" w:eastAsia="宋体" w:cs="宋体"/>
          <w:b/>
          <w:color w:val="auto"/>
          <w:sz w:val="24"/>
          <w:szCs w:val="24"/>
          <w:lang w:eastAsia="zh-CN"/>
        </w:rPr>
      </w:pPr>
    </w:p>
    <w:p>
      <w:pPr>
        <w:rPr>
          <w:rFonts w:hint="eastAsia" w:ascii="宋体" w:hAnsi="宋体" w:eastAsia="宋体" w:cs="宋体"/>
          <w:b/>
          <w:color w:val="auto"/>
          <w:sz w:val="24"/>
          <w:szCs w:val="24"/>
          <w:lang w:eastAsia="zh-CN"/>
        </w:rPr>
      </w:pPr>
    </w:p>
    <w:p>
      <w:pPr>
        <w:tabs>
          <w:tab w:val="center" w:pos="4629"/>
        </w:tabs>
        <w:spacing w:before="240" w:beforeLines="0" w:after="480" w:afterLines="0" w:line="500" w:lineRule="exact"/>
        <w:jc w:val="both"/>
        <w:rPr>
          <w:rFonts w:hint="eastAsia"/>
          <w:lang w:val="en-US" w:eastAsia="zh-CN"/>
        </w:rPr>
      </w:pPr>
      <w:r>
        <w:rPr>
          <w:rFonts w:hint="eastAsia"/>
          <w:lang w:val="en-US" w:eastAsia="zh-CN"/>
        </w:rPr>
        <w:t xml:space="preserve">                         </w:t>
      </w:r>
    </w:p>
    <w:p>
      <w:pPr>
        <w:tabs>
          <w:tab w:val="center" w:pos="4629"/>
        </w:tabs>
        <w:spacing w:before="240" w:beforeLines="0" w:after="480" w:afterLines="0" w:line="500" w:lineRule="exact"/>
        <w:jc w:val="center"/>
        <w:rPr>
          <w:rFonts w:hint="eastAsia" w:ascii="宋体" w:hAnsi="宋体" w:eastAsia="宋体" w:cs="宋体"/>
          <w:b/>
          <w:color w:val="auto"/>
          <w:sz w:val="24"/>
          <w:szCs w:val="24"/>
          <w:lang w:val="en-US" w:eastAsia="zh-CN"/>
        </w:rPr>
      </w:pPr>
      <w:r>
        <w:rPr>
          <w:rFonts w:hint="eastAsia"/>
          <w:b/>
          <w:bCs/>
          <w:lang w:val="en-US" w:eastAsia="zh-CN"/>
        </w:rPr>
        <w:t>八</w:t>
      </w:r>
      <w:r>
        <w:rPr>
          <w:rFonts w:hint="eastAsia" w:ascii="宋体" w:hAnsi="宋体" w:eastAsia="宋体" w:cs="宋体"/>
          <w:b/>
          <w:bCs/>
          <w:color w:val="auto"/>
          <w:sz w:val="24"/>
          <w:szCs w:val="24"/>
          <w:lang w:val="en-US" w:eastAsia="zh-CN"/>
        </w:rPr>
        <w:t>、到</w:t>
      </w:r>
      <w:r>
        <w:rPr>
          <w:rFonts w:hint="eastAsia" w:ascii="宋体" w:hAnsi="宋体" w:eastAsia="宋体" w:cs="宋体"/>
          <w:b/>
          <w:color w:val="auto"/>
          <w:sz w:val="24"/>
          <w:szCs w:val="24"/>
          <w:lang w:val="en-US" w:eastAsia="zh-CN"/>
        </w:rPr>
        <w:t>岗承诺书</w:t>
      </w:r>
    </w:p>
    <w:p>
      <w:pPr>
        <w:spacing w:line="480" w:lineRule="auto"/>
        <w:rPr>
          <w:rFonts w:hint="eastAsia" w:ascii="宋体" w:hAnsi="宋体" w:eastAsia="宋体" w:cs="宋体"/>
          <w:sz w:val="24"/>
          <w:szCs w:val="24"/>
        </w:rPr>
      </w:pPr>
      <w:r>
        <w:rPr>
          <w:rFonts w:hint="eastAsia" w:ascii="宋体" w:hAnsi="宋体" w:eastAsia="宋体" w:cs="宋体"/>
          <w:b/>
          <w:bCs/>
          <w:sz w:val="24"/>
          <w:szCs w:val="24"/>
        </w:rPr>
        <w:t>致：</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（招标人名称）：</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为确保本工程质量</w:t>
      </w:r>
      <w:r>
        <w:rPr>
          <w:rFonts w:hint="eastAsia" w:ascii="宋体" w:hAnsi="宋体" w:eastAsia="宋体" w:cs="宋体"/>
          <w:sz w:val="24"/>
          <w:szCs w:val="24"/>
          <w:lang w:eastAsia="zh-CN"/>
        </w:rPr>
        <w:t>、</w:t>
      </w:r>
      <w:r>
        <w:rPr>
          <w:rFonts w:hint="eastAsia" w:ascii="宋体" w:hAnsi="宋体" w:eastAsia="宋体" w:cs="宋体"/>
          <w:sz w:val="24"/>
          <w:szCs w:val="24"/>
        </w:rPr>
        <w:t>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进度</w:t>
      </w:r>
      <w:r>
        <w:rPr>
          <w:rFonts w:hint="eastAsia" w:ascii="宋体" w:hAnsi="宋体" w:eastAsia="宋体" w:cs="宋体"/>
          <w:sz w:val="24"/>
          <w:szCs w:val="24"/>
        </w:rPr>
        <w:t>，保证工程投标施工现场管理人员中标后及时到岗到位，认真履行施工现场工程管理职责，本公司现郑重承诺:若我单位有幸</w:t>
      </w:r>
      <w:r>
        <w:rPr>
          <w:rFonts w:hint="eastAsia" w:ascii="宋体" w:hAnsi="宋体" w:eastAsia="宋体" w:cs="宋体"/>
          <w:sz w:val="24"/>
          <w:szCs w:val="24"/>
          <w:lang w:val="en-US" w:eastAsia="zh-CN"/>
        </w:rPr>
        <w:t>中标</w:t>
      </w:r>
      <w:r>
        <w:rPr>
          <w:rFonts w:hint="eastAsia" w:ascii="宋体" w:hAnsi="宋体" w:eastAsia="宋体" w:cs="宋体"/>
          <w:sz w:val="24"/>
          <w:szCs w:val="24"/>
        </w:rPr>
        <w:t>(</w:t>
      </w:r>
      <w:r>
        <w:rPr>
          <w:rFonts w:hint="eastAsia" w:ascii="宋体" w:hAnsi="宋体" w:eastAsia="宋体" w:cs="宋体"/>
          <w:sz w:val="24"/>
          <w:szCs w:val="24"/>
          <w:lang w:val="en-US" w:eastAsia="zh-CN"/>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)，本承诺书纳入合同文件的组成内容，将按照投标文件的承诺派出</w:t>
      </w:r>
      <w:r>
        <w:rPr>
          <w:rFonts w:hint="eastAsia" w:ascii="宋体" w:hAnsi="宋体" w:eastAsia="宋体" w:cs="宋体"/>
          <w:sz w:val="24"/>
          <w:szCs w:val="24"/>
          <w:lang w:val="en-US" w:eastAsia="zh-CN"/>
        </w:rPr>
        <w:t>项目经理</w:t>
      </w:r>
      <w:r>
        <w:rPr>
          <w:rFonts w:hint="eastAsia" w:ascii="宋体" w:hAnsi="宋体" w:eastAsia="宋体" w:cs="宋体"/>
          <w:sz w:val="24"/>
          <w:szCs w:val="24"/>
        </w:rPr>
        <w:t>、技术负责人和关键岗位管理人员 (施工员、质量员、安全员等)，并配备其他相应管理人员。</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若工程项目部施工现场管理人员不能按投标文件承诺到位的，愿意无条件地接受招标人作出的处罚处理。</w:t>
      </w:r>
    </w:p>
    <w:p>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特此承诺</w:t>
      </w:r>
    </w:p>
    <w:p>
      <w:pPr>
        <w:rPr>
          <w:rFonts w:hint="eastAsia" w:ascii="宋体" w:hAnsi="宋体" w:eastAsia="宋体" w:cs="宋体"/>
          <w:sz w:val="24"/>
          <w:szCs w:val="24"/>
        </w:rPr>
      </w:pPr>
    </w:p>
    <w:p>
      <w:pPr>
        <w:spacing w:before="0" w:beforeLines="0" w:after="0" w:afterLines="0" w:line="360" w:lineRule="auto"/>
        <w:ind w:firstLine="3840" w:firstLineChars="16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投标单位（公章）：</w:t>
      </w:r>
    </w:p>
    <w:p>
      <w:pPr>
        <w:tabs>
          <w:tab w:val="center" w:pos="4629"/>
        </w:tabs>
        <w:spacing w:before="240" w:beforeLines="0" w:after="240" w:afterLines="0" w:line="240" w:lineRule="auto"/>
        <w:ind w:firstLine="3840" w:firstLineChars="16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法定代表人（签章）：</w:t>
      </w:r>
    </w:p>
    <w:p>
      <w:pPr>
        <w:ind w:firstLine="3840" w:firstLineChars="1600"/>
      </w:pPr>
      <w:r>
        <w:rPr>
          <w:rFonts w:hint="eastAsia" w:ascii="宋体" w:hAnsi="宋体" w:eastAsia="宋体" w:cs="宋体"/>
          <w:b w:val="0"/>
          <w:bCs w:val="0"/>
          <w:sz w:val="24"/>
          <w:szCs w:val="24"/>
          <w:u w:val="none"/>
          <w:lang w:val="en-US" w:eastAsia="zh-CN"/>
        </w:rPr>
        <w:t>日期：  年  月  日</w:t>
      </w:r>
    </w:p>
    <w:p>
      <w:pPr>
        <w:tabs>
          <w:tab w:val="center" w:pos="4629"/>
        </w:tabs>
        <w:spacing w:before="240" w:beforeLines="0" w:after="480" w:afterLines="0" w:line="500" w:lineRule="exact"/>
        <w:jc w:val="center"/>
        <w:rPr>
          <w:rFonts w:hint="eastAsia" w:ascii="宋体" w:hAnsi="宋体" w:eastAsia="宋体" w:cs="宋体"/>
          <w:b/>
          <w:color w:val="auto"/>
          <w:sz w:val="24"/>
          <w:szCs w:val="24"/>
          <w:lang w:val="en-US" w:eastAsia="zh-CN"/>
        </w:rPr>
      </w:pPr>
    </w:p>
    <w:p>
      <w:pPr>
        <w:pStyle w:val="2"/>
        <w:rPr>
          <w:rFonts w:hint="eastAsia" w:ascii="宋体" w:hAnsi="宋体" w:eastAsia="宋体" w:cs="宋体"/>
          <w:b/>
          <w:color w:val="auto"/>
          <w:sz w:val="24"/>
          <w:szCs w:val="24"/>
          <w:lang w:val="en-US" w:eastAsia="zh-CN"/>
        </w:rPr>
      </w:pPr>
    </w:p>
    <w:p>
      <w:pPr>
        <w:rPr>
          <w:rFonts w:hint="eastAsia" w:ascii="宋体" w:hAnsi="宋体" w:eastAsia="宋体" w:cs="宋体"/>
          <w:b/>
          <w:color w:val="auto"/>
          <w:sz w:val="24"/>
          <w:szCs w:val="24"/>
          <w:lang w:val="en-US" w:eastAsia="zh-CN"/>
        </w:rPr>
      </w:pPr>
    </w:p>
    <w:p>
      <w:pPr>
        <w:pStyle w:val="2"/>
        <w:rPr>
          <w:rFonts w:hint="eastAsia" w:ascii="宋体" w:hAnsi="宋体" w:eastAsia="宋体" w:cs="宋体"/>
          <w:b/>
          <w:color w:val="auto"/>
          <w:sz w:val="24"/>
          <w:szCs w:val="24"/>
          <w:lang w:val="en-US" w:eastAsia="zh-CN"/>
        </w:rPr>
      </w:pPr>
    </w:p>
    <w:p>
      <w:pPr>
        <w:tabs>
          <w:tab w:val="center" w:pos="4629"/>
        </w:tabs>
        <w:spacing w:before="240" w:beforeLines="0" w:after="480" w:afterLines="0" w:line="500" w:lineRule="exact"/>
        <w:jc w:val="both"/>
        <w:rPr>
          <w:rFonts w:hint="eastAsia" w:ascii="宋体" w:hAnsi="宋体" w:eastAsia="宋体" w:cs="宋体"/>
          <w:b/>
          <w:color w:val="auto"/>
          <w:sz w:val="24"/>
          <w:szCs w:val="24"/>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lang w:val="en-US" w:eastAsia="zh-CN"/>
        </w:rPr>
      </w:pPr>
      <w:r>
        <w:rPr>
          <w:rFonts w:hint="eastAsia"/>
          <w:b/>
          <w:bCs/>
          <w:lang w:val="en-US" w:eastAsia="zh-CN"/>
        </w:rPr>
        <w:t>九、项目管理组织方案</w:t>
      </w:r>
    </w:p>
    <w:p>
      <w:pPr>
        <w:tabs>
          <w:tab w:val="center" w:pos="4629"/>
        </w:tabs>
        <w:spacing w:before="240" w:beforeLines="0" w:after="480" w:afterLines="0" w:line="500" w:lineRule="exact"/>
        <w:jc w:val="center"/>
        <w:rPr>
          <w:rFonts w:hint="default"/>
          <w:b/>
          <w:bCs/>
          <w:lang w:val="en-US" w:eastAsia="zh-CN"/>
        </w:rPr>
      </w:pPr>
      <w:r>
        <w:rPr>
          <w:rFonts w:hint="eastAsia"/>
          <w:b/>
          <w:bCs/>
          <w:lang w:val="en-US" w:eastAsia="zh-CN"/>
        </w:rPr>
        <w:t>（格式自拟）</w:t>
      </w:r>
    </w:p>
    <w:p>
      <w:pPr>
        <w:tabs>
          <w:tab w:val="center" w:pos="4629"/>
        </w:tabs>
        <w:spacing w:before="240" w:beforeLines="0" w:after="480" w:afterLines="0" w:line="500" w:lineRule="exact"/>
        <w:jc w:val="both"/>
        <w:rPr>
          <w:rFonts w:hint="eastAsia"/>
          <w:lang w:val="en-US" w:eastAsia="zh-CN"/>
        </w:rPr>
      </w:pPr>
    </w:p>
    <w:p>
      <w:pPr>
        <w:tabs>
          <w:tab w:val="center" w:pos="4629"/>
        </w:tabs>
        <w:spacing w:before="240" w:beforeLines="0" w:after="480" w:afterLines="0" w:line="500" w:lineRule="exact"/>
        <w:jc w:val="both"/>
        <w:rPr>
          <w:rFonts w:hint="eastAsia"/>
          <w:lang w:val="en-US" w:eastAsia="zh-CN"/>
        </w:rPr>
      </w:pPr>
    </w:p>
    <w:p>
      <w:pPr>
        <w:tabs>
          <w:tab w:val="center" w:pos="4629"/>
        </w:tabs>
        <w:spacing w:before="240" w:beforeLines="0" w:after="480" w:afterLines="0" w:line="500" w:lineRule="exact"/>
        <w:jc w:val="both"/>
        <w:rPr>
          <w:rFonts w:hint="eastAsia"/>
          <w:lang w:val="en-US" w:eastAsia="zh-CN"/>
        </w:rPr>
      </w:pPr>
    </w:p>
    <w:p>
      <w:pPr>
        <w:tabs>
          <w:tab w:val="center" w:pos="4629"/>
        </w:tabs>
        <w:spacing w:before="240" w:beforeLines="0" w:after="480" w:afterLines="0" w:line="500" w:lineRule="exact"/>
        <w:jc w:val="both"/>
        <w:rPr>
          <w:rFonts w:hint="eastAsia"/>
          <w:lang w:val="en-US" w:eastAsia="zh-CN"/>
        </w:rPr>
      </w:pPr>
    </w:p>
    <w:p>
      <w:pPr>
        <w:tabs>
          <w:tab w:val="center" w:pos="4629"/>
        </w:tabs>
        <w:spacing w:before="240" w:beforeLines="0" w:after="480" w:afterLines="0" w:line="500" w:lineRule="exact"/>
        <w:jc w:val="both"/>
        <w:rPr>
          <w:rFonts w:hint="eastAsia"/>
          <w:lang w:val="en-US" w:eastAsia="zh-CN"/>
        </w:rPr>
      </w:pPr>
    </w:p>
    <w:p>
      <w:pPr>
        <w:tabs>
          <w:tab w:val="center" w:pos="4629"/>
        </w:tabs>
        <w:spacing w:before="240" w:beforeLines="0" w:after="480" w:afterLines="0" w:line="500" w:lineRule="exact"/>
        <w:jc w:val="both"/>
        <w:rPr>
          <w:rFonts w:hint="eastAsia"/>
          <w:lang w:val="en-US" w:eastAsia="zh-CN"/>
        </w:rPr>
      </w:pPr>
    </w:p>
    <w:p>
      <w:pPr>
        <w:tabs>
          <w:tab w:val="center" w:pos="4629"/>
        </w:tabs>
        <w:spacing w:before="240" w:beforeLines="0" w:after="480" w:afterLines="0" w:line="500" w:lineRule="exact"/>
        <w:jc w:val="both"/>
        <w:rPr>
          <w:rFonts w:hint="eastAsia"/>
          <w:lang w:val="en-US" w:eastAsia="zh-CN"/>
        </w:rPr>
      </w:pPr>
    </w:p>
    <w:p>
      <w:pPr>
        <w:tabs>
          <w:tab w:val="center" w:pos="4629"/>
        </w:tabs>
        <w:spacing w:before="240" w:beforeLines="0" w:after="480" w:afterLines="0" w:line="500" w:lineRule="exact"/>
        <w:jc w:val="both"/>
        <w:rPr>
          <w:rFonts w:hint="eastAsia"/>
          <w:lang w:val="en-US" w:eastAsia="zh-CN"/>
        </w:rPr>
      </w:pPr>
    </w:p>
    <w:p>
      <w:pPr>
        <w:tabs>
          <w:tab w:val="center" w:pos="4629"/>
        </w:tabs>
        <w:spacing w:before="240" w:beforeLines="0" w:after="480" w:afterLines="0" w:line="500" w:lineRule="exact"/>
        <w:jc w:val="both"/>
        <w:rPr>
          <w:rFonts w:hint="eastAsia"/>
          <w:lang w:val="en-US" w:eastAsia="zh-CN"/>
        </w:rPr>
      </w:pPr>
    </w:p>
    <w:p>
      <w:pPr>
        <w:tabs>
          <w:tab w:val="center" w:pos="4629"/>
        </w:tabs>
        <w:spacing w:before="240" w:beforeLines="0" w:after="480" w:afterLines="0" w:line="500" w:lineRule="exact"/>
        <w:jc w:val="both"/>
        <w:rPr>
          <w:rFonts w:hint="eastAsia" w:ascii="宋体" w:hAnsi="宋体" w:eastAsia="宋体" w:cs="宋体"/>
          <w:b/>
          <w:color w:val="auto"/>
          <w:sz w:val="24"/>
          <w:szCs w:val="24"/>
          <w:lang w:val="en-US" w:eastAsia="zh-CN"/>
        </w:rPr>
      </w:pPr>
    </w:p>
    <w:p>
      <w:pPr>
        <w:pStyle w:val="2"/>
        <w:rPr>
          <w:rFonts w:hint="eastAsia" w:ascii="宋体" w:hAnsi="宋体" w:eastAsia="宋体" w:cs="宋体"/>
          <w:b/>
          <w:color w:val="auto"/>
          <w:sz w:val="24"/>
          <w:szCs w:val="24"/>
          <w:lang w:val="en-US" w:eastAsia="zh-CN"/>
        </w:rPr>
      </w:pPr>
    </w:p>
    <w:p>
      <w:pPr>
        <w:rPr>
          <w:rFonts w:hint="eastAsia"/>
          <w:lang w:val="en-US" w:eastAsia="zh-CN"/>
        </w:rPr>
      </w:pPr>
    </w:p>
    <w:p>
      <w:pPr>
        <w:tabs>
          <w:tab w:val="center" w:pos="4629"/>
        </w:tabs>
        <w:spacing w:before="240" w:beforeLines="0" w:after="480" w:afterLines="0" w:line="500" w:lineRule="exact"/>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十</w:t>
      </w:r>
      <w:r>
        <w:rPr>
          <w:rFonts w:hint="eastAsia" w:ascii="宋体" w:hAnsi="宋体" w:eastAsia="宋体" w:cs="宋体"/>
          <w:b/>
          <w:color w:val="auto"/>
          <w:sz w:val="24"/>
          <w:szCs w:val="24"/>
          <w:lang w:eastAsia="zh-CN"/>
        </w:rPr>
        <w:t>、其他资料</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1、营业执照复印件</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2、企业资质证书复印件</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3、安全生产许可证复印件</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4、企业业绩及相关资料</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5、基本账户复印件</w:t>
      </w:r>
    </w:p>
    <w:p>
      <w:pPr>
        <w:spacing w:line="360" w:lineRule="auto"/>
        <w:ind w:firstLine="360" w:firstLineChars="15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6、项目经理、技术负责人、主要岗位人员证书及相关资料</w:t>
      </w:r>
    </w:p>
    <w:p>
      <w:pPr>
        <w:spacing w:line="360" w:lineRule="auto"/>
        <w:ind w:firstLine="360" w:firstLineChars="150"/>
        <w:rPr>
          <w:rFonts w:hint="default" w:ascii="宋体" w:hAnsi="宋体" w:eastAsia="宋体" w:cs="宋体"/>
          <w:color w:val="auto"/>
          <w:lang w:val="en-US" w:eastAsia="zh-CN"/>
        </w:rPr>
      </w:pPr>
      <w:r>
        <w:rPr>
          <w:rFonts w:hint="eastAsia" w:ascii="宋体" w:hAnsi="宋体" w:eastAsia="宋体" w:cs="宋体"/>
          <w:b w:val="0"/>
          <w:bCs w:val="0"/>
          <w:color w:val="auto"/>
          <w:sz w:val="24"/>
          <w:szCs w:val="24"/>
          <w:lang w:val="en-US" w:eastAsia="zh-CN"/>
        </w:rPr>
        <w:t>7、详见投标人须知前附表及投标人认为需要提供的资料等。</w:t>
      </w:r>
    </w:p>
    <w:p>
      <w:pPr>
        <w:pStyle w:val="43"/>
        <w:ind w:left="0" w:leftChars="0" w:firstLine="480"/>
        <w:rPr>
          <w:rFonts w:hint="default"/>
          <w:lang w:val="en-US" w:eastAsia="zh-CN"/>
        </w:rPr>
      </w:pPr>
    </w:p>
    <w:p>
      <w:pP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eastAsia="zh-CN"/>
        </w:rPr>
      </w:pPr>
    </w:p>
    <w:p>
      <w:pPr>
        <w:pStyle w:val="2"/>
        <w:rPr>
          <w:rFonts w:hint="eastAsia" w:ascii="宋体" w:hAnsi="宋体" w:eastAsia="宋体" w:cs="宋体"/>
          <w:color w:val="auto"/>
          <w:sz w:val="24"/>
          <w:szCs w:val="24"/>
          <w:lang w:eastAsia="zh-CN"/>
        </w:rPr>
      </w:pPr>
    </w:p>
    <w:p>
      <w:pPr>
        <w:rPr>
          <w:rFonts w:hint="eastAsia" w:ascii="宋体" w:hAnsi="宋体" w:eastAsia="宋体" w:cs="宋体"/>
          <w:color w:val="auto"/>
          <w:sz w:val="24"/>
          <w:szCs w:val="24"/>
          <w:lang w:eastAsia="zh-CN"/>
        </w:rPr>
      </w:pPr>
    </w:p>
    <w:p>
      <w:pPr>
        <w:pStyle w:val="2"/>
        <w:rPr>
          <w:rFonts w:hint="eastAsia" w:ascii="宋体" w:hAnsi="宋体" w:eastAsia="宋体" w:cs="宋体"/>
          <w:color w:val="auto"/>
          <w:sz w:val="24"/>
          <w:szCs w:val="24"/>
          <w:lang w:eastAsia="zh-CN"/>
        </w:rPr>
      </w:pPr>
    </w:p>
    <w:p>
      <w:pPr>
        <w:rPr>
          <w:rFonts w:hint="eastAsia" w:ascii="宋体" w:hAnsi="宋体" w:eastAsia="宋体" w:cs="宋体"/>
          <w:color w:val="auto"/>
          <w:sz w:val="24"/>
          <w:szCs w:val="24"/>
          <w:lang w:eastAsia="zh-CN"/>
        </w:rPr>
      </w:pPr>
    </w:p>
    <w:p>
      <w:pPr>
        <w:pStyle w:val="2"/>
        <w:rPr>
          <w:rFonts w:hint="eastAsia"/>
          <w:lang w:eastAsia="zh-CN"/>
        </w:rPr>
      </w:pPr>
    </w:p>
    <w:sectPr>
      <w:headerReference r:id="rId8" w:type="default"/>
      <w:footerReference r:id="rId9" w:type="default"/>
      <w:pgSz w:w="11906" w:h="16838"/>
      <w:pgMar w:top="1440" w:right="1803" w:bottom="1440" w:left="1979"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9C9BF84-8E15-4583-B4B9-DDBBB751079E}"/>
  </w:font>
  <w:font w:name="黑体">
    <w:panose1 w:val="02010609060101010101"/>
    <w:charset w:val="86"/>
    <w:family w:val="auto"/>
    <w:pitch w:val="default"/>
    <w:sig w:usb0="800002BF" w:usb1="38CF7CFA" w:usb2="00000016" w:usb3="00000000" w:csb0="00040001" w:csb1="00000000"/>
    <w:embedRegular r:id="rId2" w:fontKey="{283B3B02-D8D1-493C-8C8D-FD8248F35B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B99B574-AF74-48F6-8132-2BFFAA40DE11}"/>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简标宋">
    <w:altName w:val="黑体"/>
    <w:panose1 w:val="00000000000000000000"/>
    <w:charset w:val="86"/>
    <w:family w:val="auto"/>
    <w:pitch w:val="default"/>
    <w:sig w:usb0="00000000" w:usb1="00000000" w:usb2="00000010" w:usb3="00000000" w:csb0="00040000" w:csb1="00000000"/>
    <w:embedRegular r:id="rId4" w:fontKey="{05D5F16F-96F5-452E-B2C3-11A0D925276D}"/>
  </w:font>
  <w:font w:name="Wingdings 2">
    <w:panose1 w:val="05020102010507070707"/>
    <w:charset w:val="02"/>
    <w:family w:val="auto"/>
    <w:pitch w:val="default"/>
    <w:sig w:usb0="00000000" w:usb1="00000000" w:usb2="00000000" w:usb3="00000000" w:csb0="80000000" w:csb1="00000000"/>
    <w:embedRegular r:id="rId5" w:fontKey="{4E1BA5AA-614E-4D72-8CC6-E0FA7B548A46}"/>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rFonts w:hint="eastAsia"/>
        <w:lang w:eastAsia="zh-CN"/>
      </w:rPr>
      <w:tab/>
    </w:r>
    <w:r>
      <w:rPr>
        <w:rFonts w:hint="eastAsia" w:ascii="宋体" w:hAnsi="宋体" w:eastAsia="宋体" w:cs="宋体"/>
        <w:b/>
        <w:bCs/>
        <w:color w:val="auto"/>
        <w:sz w:val="24"/>
        <w:highlight w:val="none"/>
        <w:u w:val="none"/>
      </w:rPr>
      <w:drawing>
        <wp:inline distT="0" distB="0" distL="114300" distR="114300">
          <wp:extent cx="603885" cy="579120"/>
          <wp:effectExtent l="0" t="0" r="5715" b="11430"/>
          <wp:docPr id="11" name="图片 11" descr="微信截图_2024022114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40221143259"/>
                  <pic:cNvPicPr>
                    <a:picLocks noChangeAspect="1"/>
                  </pic:cNvPicPr>
                </pic:nvPicPr>
                <pic:blipFill>
                  <a:blip r:embed="rId1"/>
                  <a:stretch>
                    <a:fillRect/>
                  </a:stretch>
                </pic:blipFill>
                <pic:spPr>
                  <a:xfrm>
                    <a:off x="0" y="0"/>
                    <a:ext cx="603885" cy="5791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ascii="宋体" w:hAnsi="宋体" w:eastAsia="宋体" w:cs="宋体"/>
        <w:b/>
        <w:bCs/>
        <w:color w:val="auto"/>
        <w:sz w:val="24"/>
        <w:highlight w:val="none"/>
        <w:u w:val="none"/>
      </w:rPr>
      <w:drawing>
        <wp:inline distT="0" distB="0" distL="114300" distR="114300">
          <wp:extent cx="603885" cy="579120"/>
          <wp:effectExtent l="0" t="0" r="5715" b="11430"/>
          <wp:docPr id="10" name="图片 10" descr="微信截图_2024022114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40221143259"/>
                  <pic:cNvPicPr>
                    <a:picLocks noChangeAspect="1"/>
                  </pic:cNvPicPr>
                </pic:nvPicPr>
                <pic:blipFill>
                  <a:blip r:embed="rId1"/>
                  <a:stretch>
                    <a:fillRect/>
                  </a:stretch>
                </pic:blipFill>
                <pic:spPr>
                  <a:xfrm>
                    <a:off x="0" y="0"/>
                    <a:ext cx="603885" cy="5791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FFFFFF" w:sz="6" w:space="1"/>
      </w:pBdr>
      <w:ind w:left="241" w:hanging="241" w:hangingChars="100"/>
      <w:jc w:val="right"/>
    </w:pPr>
    <w:r>
      <w:rPr>
        <w:rFonts w:hint="eastAsia" w:ascii="宋体" w:hAnsi="宋体" w:eastAsia="宋体" w:cs="宋体"/>
        <w:b/>
        <w:bCs/>
        <w:color w:val="auto"/>
        <w:sz w:val="24"/>
        <w:highlight w:val="none"/>
        <w:u w:val="none"/>
      </w:rPr>
      <w:drawing>
        <wp:inline distT="0" distB="0" distL="114300" distR="114300">
          <wp:extent cx="603885" cy="579120"/>
          <wp:effectExtent l="0" t="0" r="5715" b="11430"/>
          <wp:docPr id="8" name="图片 8" descr="微信截图_2024022114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40221143259"/>
                  <pic:cNvPicPr>
                    <a:picLocks noChangeAspect="1"/>
                  </pic:cNvPicPr>
                </pic:nvPicPr>
                <pic:blipFill>
                  <a:blip r:embed="rId1"/>
                  <a:stretch>
                    <a:fillRect/>
                  </a:stretch>
                </pic:blipFill>
                <pic:spPr>
                  <a:xfrm>
                    <a:off x="0" y="0"/>
                    <a:ext cx="603885" cy="579120"/>
                  </a:xfrm>
                  <a:prstGeom prst="rect">
                    <a:avLst/>
                  </a:prstGeom>
                </pic:spPr>
              </pic:pic>
            </a:graphicData>
          </a:graphic>
        </wp:inline>
      </w:drawing>
    </w:r>
    <w:r>
      <w:rPr>
        <w:rFonts w:hint="eastAsia" w:ascii="宋体" w:hAnsi="宋体" w:eastAsia="宋体" w:cs="宋体"/>
        <w:b/>
        <w:bCs/>
        <w:color w:val="auto"/>
        <w:sz w:val="24"/>
        <w:highlight w:val="none"/>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1DF60"/>
    <w:multiLevelType w:val="singleLevel"/>
    <w:tmpl w:val="8A21DF60"/>
    <w:lvl w:ilvl="0" w:tentative="0">
      <w:start w:val="1"/>
      <w:numFmt w:val="decimal"/>
      <w:suff w:val="nothing"/>
      <w:lvlText w:val="（%1）"/>
      <w:lvlJc w:val="left"/>
    </w:lvl>
  </w:abstractNum>
  <w:abstractNum w:abstractNumId="1">
    <w:nsid w:val="91084F52"/>
    <w:multiLevelType w:val="singleLevel"/>
    <w:tmpl w:val="91084F52"/>
    <w:lvl w:ilvl="0" w:tentative="0">
      <w:start w:val="1"/>
      <w:numFmt w:val="decimal"/>
      <w:suff w:val="space"/>
      <w:lvlText w:val="%1．"/>
      <w:lvlJc w:val="left"/>
    </w:lvl>
  </w:abstractNum>
  <w:abstractNum w:abstractNumId="2">
    <w:nsid w:val="BA257164"/>
    <w:multiLevelType w:val="singleLevel"/>
    <w:tmpl w:val="BA257164"/>
    <w:lvl w:ilvl="0" w:tentative="0">
      <w:start w:val="2"/>
      <w:numFmt w:val="decimal"/>
      <w:lvlText w:val="%1."/>
      <w:lvlJc w:val="left"/>
      <w:pPr>
        <w:tabs>
          <w:tab w:val="left" w:pos="312"/>
        </w:tabs>
      </w:pPr>
    </w:lvl>
  </w:abstractNum>
  <w:abstractNum w:abstractNumId="3">
    <w:nsid w:val="D76AB5CC"/>
    <w:multiLevelType w:val="singleLevel"/>
    <w:tmpl w:val="D76AB5CC"/>
    <w:lvl w:ilvl="0" w:tentative="0">
      <w:start w:val="1"/>
      <w:numFmt w:val="chineseCounting"/>
      <w:suff w:val="nothing"/>
      <w:lvlText w:val="%1、"/>
      <w:lvlJc w:val="left"/>
      <w:rPr>
        <w:rFonts w:hint="eastAsia"/>
      </w:rPr>
    </w:lvl>
  </w:abstractNum>
  <w:abstractNum w:abstractNumId="4">
    <w:nsid w:val="F0CE0767"/>
    <w:multiLevelType w:val="singleLevel"/>
    <w:tmpl w:val="F0CE0767"/>
    <w:lvl w:ilvl="0" w:tentative="0">
      <w:start w:val="1"/>
      <w:numFmt w:val="decimal"/>
      <w:suff w:val="nothing"/>
      <w:lvlText w:val="%1、"/>
      <w:lvlJc w:val="left"/>
    </w:lvl>
  </w:abstractNum>
  <w:abstractNum w:abstractNumId="5">
    <w:nsid w:val="00000003"/>
    <w:multiLevelType w:val="singleLevel"/>
    <w:tmpl w:val="00000003"/>
    <w:lvl w:ilvl="0" w:tentative="0">
      <w:start w:val="1"/>
      <w:numFmt w:val="decimal"/>
      <w:suff w:val="nothing"/>
      <w:lvlText w:val="%1、"/>
      <w:lvlJc w:val="left"/>
    </w:lvl>
  </w:abstractNum>
  <w:abstractNum w:abstractNumId="6">
    <w:nsid w:val="00000005"/>
    <w:multiLevelType w:val="singleLevel"/>
    <w:tmpl w:val="00000005"/>
    <w:lvl w:ilvl="0" w:tentative="0">
      <w:start w:val="1"/>
      <w:numFmt w:val="decimal"/>
      <w:suff w:val="nothing"/>
      <w:lvlText w:val="%1、"/>
      <w:lvlJc w:val="left"/>
    </w:lvl>
  </w:abstractNum>
  <w:abstractNum w:abstractNumId="7">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singleLevel"/>
    <w:tmpl w:val="00000009"/>
    <w:lvl w:ilvl="0" w:tentative="0">
      <w:start w:val="1"/>
      <w:numFmt w:val="decimal"/>
      <w:suff w:val="nothing"/>
      <w:lvlText w:val="%1、"/>
      <w:lvlJc w:val="left"/>
    </w:lvl>
  </w:abstractNum>
  <w:abstractNum w:abstractNumId="9">
    <w:nsid w:val="0000000B"/>
    <w:multiLevelType w:val="singleLevel"/>
    <w:tmpl w:val="0000000B"/>
    <w:lvl w:ilvl="0" w:tentative="0">
      <w:start w:val="1"/>
      <w:numFmt w:val="decimal"/>
      <w:suff w:val="nothing"/>
      <w:lvlText w:val="%1、"/>
      <w:lvlJc w:val="left"/>
    </w:lvl>
  </w:abstractNum>
  <w:abstractNum w:abstractNumId="10">
    <w:nsid w:val="0000000D"/>
    <w:multiLevelType w:val="singleLevel"/>
    <w:tmpl w:val="0000000D"/>
    <w:lvl w:ilvl="0" w:tentative="0">
      <w:start w:val="1"/>
      <w:numFmt w:val="decimal"/>
      <w:suff w:val="nothing"/>
      <w:lvlText w:val="%1、"/>
      <w:lvlJc w:val="left"/>
    </w:lvl>
  </w:abstractNum>
  <w:abstractNum w:abstractNumId="11">
    <w:nsid w:val="11D467DA"/>
    <w:multiLevelType w:val="singleLevel"/>
    <w:tmpl w:val="11D467DA"/>
    <w:lvl w:ilvl="0" w:tentative="0">
      <w:start w:val="1"/>
      <w:numFmt w:val="chineseCounting"/>
      <w:suff w:val="space"/>
      <w:lvlText w:val="第%1章"/>
      <w:lvlJc w:val="left"/>
      <w:rPr>
        <w:rFonts w:hint="eastAsia"/>
      </w:rPr>
    </w:lvl>
  </w:abstractNum>
  <w:abstractNum w:abstractNumId="12">
    <w:nsid w:val="2BDB0EE2"/>
    <w:multiLevelType w:val="singleLevel"/>
    <w:tmpl w:val="2BDB0EE2"/>
    <w:lvl w:ilvl="0" w:tentative="0">
      <w:start w:val="23"/>
      <w:numFmt w:val="decimal"/>
      <w:suff w:val="nothing"/>
      <w:lvlText w:val="%1、"/>
      <w:lvlJc w:val="left"/>
    </w:lvl>
  </w:abstractNum>
  <w:abstractNum w:abstractNumId="13">
    <w:nsid w:val="42FBBC9A"/>
    <w:multiLevelType w:val="singleLevel"/>
    <w:tmpl w:val="42FBBC9A"/>
    <w:lvl w:ilvl="0" w:tentative="0">
      <w:start w:val="4"/>
      <w:numFmt w:val="chineseCounting"/>
      <w:suff w:val="space"/>
      <w:lvlText w:val="第%1章"/>
      <w:lvlJc w:val="left"/>
      <w:rPr>
        <w:rFonts w:hint="eastAsia"/>
      </w:rPr>
    </w:lvl>
  </w:abstractNum>
  <w:abstractNum w:abstractNumId="14">
    <w:nsid w:val="682BA699"/>
    <w:multiLevelType w:val="singleLevel"/>
    <w:tmpl w:val="682BA699"/>
    <w:lvl w:ilvl="0" w:tentative="0">
      <w:start w:val="1"/>
      <w:numFmt w:val="decimal"/>
      <w:suff w:val="nothing"/>
      <w:lvlText w:val="%1、"/>
      <w:lvlJc w:val="left"/>
    </w:lvl>
  </w:abstractNum>
  <w:abstractNum w:abstractNumId="15">
    <w:nsid w:val="707D5542"/>
    <w:multiLevelType w:val="singleLevel"/>
    <w:tmpl w:val="707D5542"/>
    <w:lvl w:ilvl="0" w:tentative="0">
      <w:start w:val="1"/>
      <w:numFmt w:val="decimal"/>
      <w:suff w:val="nothing"/>
      <w:lvlText w:val="%1、"/>
      <w:lvlJc w:val="left"/>
    </w:lvl>
  </w:abstractNum>
  <w:num w:numId="1">
    <w:abstractNumId w:val="11"/>
  </w:num>
  <w:num w:numId="2">
    <w:abstractNumId w:val="0"/>
  </w:num>
  <w:num w:numId="3">
    <w:abstractNumId w:val="14"/>
  </w:num>
  <w:num w:numId="4">
    <w:abstractNumId w:val="12"/>
  </w:num>
  <w:num w:numId="5">
    <w:abstractNumId w:val="15"/>
  </w:num>
  <w:num w:numId="6">
    <w:abstractNumId w:val="4"/>
  </w:num>
  <w:num w:numId="7">
    <w:abstractNumId w:val="13"/>
  </w:num>
  <w:num w:numId="8">
    <w:abstractNumId w:val="2"/>
  </w:num>
  <w:num w:numId="9">
    <w:abstractNumId w:val="3"/>
  </w:num>
  <w:num w:numId="10">
    <w:abstractNumId w:val="1"/>
  </w:num>
  <w:num w:numId="11">
    <w:abstractNumId w:val="8"/>
  </w:num>
  <w:num w:numId="12">
    <w:abstractNumId w:val="7"/>
  </w:num>
  <w:num w:numId="13">
    <w:abstractNumId w:val="10"/>
  </w:num>
  <w:num w:numId="14">
    <w:abstractNumId w:val="9"/>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diNDM0NDZiOWM1ZDY4ODg4YzZiZDA4OTRjZmQifQ=="/>
  </w:docVars>
  <w:rsids>
    <w:rsidRoot w:val="00172A27"/>
    <w:rsid w:val="0016576B"/>
    <w:rsid w:val="00193933"/>
    <w:rsid w:val="00636B49"/>
    <w:rsid w:val="00657395"/>
    <w:rsid w:val="00703C65"/>
    <w:rsid w:val="00F40F02"/>
    <w:rsid w:val="01A00C5B"/>
    <w:rsid w:val="01AE0253"/>
    <w:rsid w:val="01B26852"/>
    <w:rsid w:val="01BE7323"/>
    <w:rsid w:val="01DF5C17"/>
    <w:rsid w:val="02346AB3"/>
    <w:rsid w:val="025C6578"/>
    <w:rsid w:val="0310129E"/>
    <w:rsid w:val="038F1724"/>
    <w:rsid w:val="03BE60AD"/>
    <w:rsid w:val="03C70711"/>
    <w:rsid w:val="042F48EA"/>
    <w:rsid w:val="043D60CC"/>
    <w:rsid w:val="045262AF"/>
    <w:rsid w:val="04685C0F"/>
    <w:rsid w:val="05372243"/>
    <w:rsid w:val="054973E7"/>
    <w:rsid w:val="058F76A9"/>
    <w:rsid w:val="05AD244F"/>
    <w:rsid w:val="0644168A"/>
    <w:rsid w:val="065C7A1D"/>
    <w:rsid w:val="06984A0D"/>
    <w:rsid w:val="06BC2E1B"/>
    <w:rsid w:val="0737309F"/>
    <w:rsid w:val="0738024F"/>
    <w:rsid w:val="07711CDF"/>
    <w:rsid w:val="07CD1375"/>
    <w:rsid w:val="07CE4A60"/>
    <w:rsid w:val="08017B21"/>
    <w:rsid w:val="08227FAB"/>
    <w:rsid w:val="08514B8D"/>
    <w:rsid w:val="08C640F8"/>
    <w:rsid w:val="09030699"/>
    <w:rsid w:val="09410A35"/>
    <w:rsid w:val="09461403"/>
    <w:rsid w:val="096D52D2"/>
    <w:rsid w:val="097D1872"/>
    <w:rsid w:val="09A70C71"/>
    <w:rsid w:val="09DE7068"/>
    <w:rsid w:val="0A051F93"/>
    <w:rsid w:val="0A2D48BF"/>
    <w:rsid w:val="0A325AB1"/>
    <w:rsid w:val="0A36560E"/>
    <w:rsid w:val="0A527310"/>
    <w:rsid w:val="0A59476B"/>
    <w:rsid w:val="0A8729A8"/>
    <w:rsid w:val="0AA7399A"/>
    <w:rsid w:val="0AFA0790"/>
    <w:rsid w:val="0B1F52D6"/>
    <w:rsid w:val="0B5224A3"/>
    <w:rsid w:val="0C2B5385"/>
    <w:rsid w:val="0C4E258D"/>
    <w:rsid w:val="0C7845D5"/>
    <w:rsid w:val="0C8D24D0"/>
    <w:rsid w:val="0DC3667D"/>
    <w:rsid w:val="0DCB589F"/>
    <w:rsid w:val="0E35096D"/>
    <w:rsid w:val="0E777818"/>
    <w:rsid w:val="0EA726DD"/>
    <w:rsid w:val="0F2F70B7"/>
    <w:rsid w:val="0F5840E0"/>
    <w:rsid w:val="0F784AD2"/>
    <w:rsid w:val="0F817C7F"/>
    <w:rsid w:val="0FDC0116"/>
    <w:rsid w:val="0FE17CA4"/>
    <w:rsid w:val="10101691"/>
    <w:rsid w:val="10595278"/>
    <w:rsid w:val="10D053A3"/>
    <w:rsid w:val="11C5043F"/>
    <w:rsid w:val="11D05E7E"/>
    <w:rsid w:val="11DD4FBA"/>
    <w:rsid w:val="12032D4C"/>
    <w:rsid w:val="12341013"/>
    <w:rsid w:val="1298380F"/>
    <w:rsid w:val="129C6CE6"/>
    <w:rsid w:val="134C68D5"/>
    <w:rsid w:val="136B362A"/>
    <w:rsid w:val="13BB2F94"/>
    <w:rsid w:val="14264B81"/>
    <w:rsid w:val="147C72F5"/>
    <w:rsid w:val="14C74196"/>
    <w:rsid w:val="15E76B77"/>
    <w:rsid w:val="1605006D"/>
    <w:rsid w:val="16C809DD"/>
    <w:rsid w:val="170267D0"/>
    <w:rsid w:val="187124CB"/>
    <w:rsid w:val="18730A0F"/>
    <w:rsid w:val="19181CAB"/>
    <w:rsid w:val="193E3E78"/>
    <w:rsid w:val="194239A5"/>
    <w:rsid w:val="19667165"/>
    <w:rsid w:val="19856699"/>
    <w:rsid w:val="199C5729"/>
    <w:rsid w:val="19AA4083"/>
    <w:rsid w:val="1A6629E0"/>
    <w:rsid w:val="1A7E28C3"/>
    <w:rsid w:val="1A9E3253"/>
    <w:rsid w:val="1AA87C2D"/>
    <w:rsid w:val="1ABC47A8"/>
    <w:rsid w:val="1AC51DF0"/>
    <w:rsid w:val="1ADC2405"/>
    <w:rsid w:val="1BC25A57"/>
    <w:rsid w:val="1C7C5B27"/>
    <w:rsid w:val="1C8830A4"/>
    <w:rsid w:val="1CEC7CF0"/>
    <w:rsid w:val="1D1B5C87"/>
    <w:rsid w:val="1DC1221D"/>
    <w:rsid w:val="1DF15300"/>
    <w:rsid w:val="1E2A1B70"/>
    <w:rsid w:val="1E341341"/>
    <w:rsid w:val="1E633EC0"/>
    <w:rsid w:val="1E7B23CC"/>
    <w:rsid w:val="1E845A30"/>
    <w:rsid w:val="1EBC079F"/>
    <w:rsid w:val="1F074516"/>
    <w:rsid w:val="1F6B3CB9"/>
    <w:rsid w:val="1F757D50"/>
    <w:rsid w:val="1F9600D1"/>
    <w:rsid w:val="1FD60C3B"/>
    <w:rsid w:val="1FDC1A61"/>
    <w:rsid w:val="202F399B"/>
    <w:rsid w:val="2076170E"/>
    <w:rsid w:val="209C170A"/>
    <w:rsid w:val="20B11D22"/>
    <w:rsid w:val="21512370"/>
    <w:rsid w:val="21802E42"/>
    <w:rsid w:val="21E81C1E"/>
    <w:rsid w:val="22280099"/>
    <w:rsid w:val="225713E5"/>
    <w:rsid w:val="227B5D4C"/>
    <w:rsid w:val="22A209F2"/>
    <w:rsid w:val="22ED3308"/>
    <w:rsid w:val="233B3CA0"/>
    <w:rsid w:val="23834D60"/>
    <w:rsid w:val="23923F3A"/>
    <w:rsid w:val="23B27078"/>
    <w:rsid w:val="23DB7230"/>
    <w:rsid w:val="249921BB"/>
    <w:rsid w:val="257912FA"/>
    <w:rsid w:val="257C5DA0"/>
    <w:rsid w:val="25DC5FA2"/>
    <w:rsid w:val="25FF28EB"/>
    <w:rsid w:val="260128E8"/>
    <w:rsid w:val="260B2287"/>
    <w:rsid w:val="261F571B"/>
    <w:rsid w:val="26295EB1"/>
    <w:rsid w:val="266D4CF0"/>
    <w:rsid w:val="269A4A2E"/>
    <w:rsid w:val="26C03072"/>
    <w:rsid w:val="26CF6C12"/>
    <w:rsid w:val="26D02619"/>
    <w:rsid w:val="26E60319"/>
    <w:rsid w:val="26F80AE1"/>
    <w:rsid w:val="27111779"/>
    <w:rsid w:val="2748028E"/>
    <w:rsid w:val="278A65AC"/>
    <w:rsid w:val="27A43FFA"/>
    <w:rsid w:val="27D45E99"/>
    <w:rsid w:val="2812532E"/>
    <w:rsid w:val="28225715"/>
    <w:rsid w:val="2825219C"/>
    <w:rsid w:val="28EF0C2A"/>
    <w:rsid w:val="2910697B"/>
    <w:rsid w:val="29AC5289"/>
    <w:rsid w:val="29C9798D"/>
    <w:rsid w:val="29EB65EB"/>
    <w:rsid w:val="29EF0AA3"/>
    <w:rsid w:val="2A367577"/>
    <w:rsid w:val="2A7A79DB"/>
    <w:rsid w:val="2A98607A"/>
    <w:rsid w:val="2AD665EE"/>
    <w:rsid w:val="2B435EC3"/>
    <w:rsid w:val="2B6245A0"/>
    <w:rsid w:val="2B8F5AEA"/>
    <w:rsid w:val="2B9570AB"/>
    <w:rsid w:val="2BD37800"/>
    <w:rsid w:val="2CF46D12"/>
    <w:rsid w:val="2CFC72DD"/>
    <w:rsid w:val="2D030AE6"/>
    <w:rsid w:val="2DAC5912"/>
    <w:rsid w:val="2EF967AD"/>
    <w:rsid w:val="2F0518B0"/>
    <w:rsid w:val="2F096EA9"/>
    <w:rsid w:val="2F285233"/>
    <w:rsid w:val="2F7549E3"/>
    <w:rsid w:val="307234C4"/>
    <w:rsid w:val="30B47766"/>
    <w:rsid w:val="30BC4E5D"/>
    <w:rsid w:val="312F15F9"/>
    <w:rsid w:val="31A43590"/>
    <w:rsid w:val="31D8371B"/>
    <w:rsid w:val="325F3BB1"/>
    <w:rsid w:val="32D21971"/>
    <w:rsid w:val="334A32AB"/>
    <w:rsid w:val="335637F5"/>
    <w:rsid w:val="33811C82"/>
    <w:rsid w:val="339430F0"/>
    <w:rsid w:val="33A107AE"/>
    <w:rsid w:val="33BC61AC"/>
    <w:rsid w:val="33F86624"/>
    <w:rsid w:val="343817AC"/>
    <w:rsid w:val="34C752A4"/>
    <w:rsid w:val="356B4AF0"/>
    <w:rsid w:val="356F1790"/>
    <w:rsid w:val="357B63B2"/>
    <w:rsid w:val="35B33F01"/>
    <w:rsid w:val="37365C42"/>
    <w:rsid w:val="377E73F4"/>
    <w:rsid w:val="37C16E80"/>
    <w:rsid w:val="37D36658"/>
    <w:rsid w:val="386C354F"/>
    <w:rsid w:val="387D5759"/>
    <w:rsid w:val="38800888"/>
    <w:rsid w:val="389C03BD"/>
    <w:rsid w:val="39057D7F"/>
    <w:rsid w:val="39277799"/>
    <w:rsid w:val="396430B4"/>
    <w:rsid w:val="39B305B2"/>
    <w:rsid w:val="39D5665B"/>
    <w:rsid w:val="39D97D59"/>
    <w:rsid w:val="3A0B6C49"/>
    <w:rsid w:val="3A470098"/>
    <w:rsid w:val="3A83183F"/>
    <w:rsid w:val="3B034672"/>
    <w:rsid w:val="3B562F44"/>
    <w:rsid w:val="3B617982"/>
    <w:rsid w:val="3B6226E4"/>
    <w:rsid w:val="3B682EB9"/>
    <w:rsid w:val="3B806E1C"/>
    <w:rsid w:val="3B9B1A6A"/>
    <w:rsid w:val="3BD02B46"/>
    <w:rsid w:val="3BE365DC"/>
    <w:rsid w:val="3C522566"/>
    <w:rsid w:val="3C6B770B"/>
    <w:rsid w:val="3C79662B"/>
    <w:rsid w:val="3D0A329B"/>
    <w:rsid w:val="3D141F11"/>
    <w:rsid w:val="3D214E10"/>
    <w:rsid w:val="3D307C72"/>
    <w:rsid w:val="3E9D197A"/>
    <w:rsid w:val="3ECA7A13"/>
    <w:rsid w:val="3EF47E87"/>
    <w:rsid w:val="3F380FAB"/>
    <w:rsid w:val="3F4E4576"/>
    <w:rsid w:val="3F7706C0"/>
    <w:rsid w:val="3F9C45E8"/>
    <w:rsid w:val="3FB61D1E"/>
    <w:rsid w:val="3FF46061"/>
    <w:rsid w:val="4037522A"/>
    <w:rsid w:val="40CE5F26"/>
    <w:rsid w:val="410272B3"/>
    <w:rsid w:val="412D3E26"/>
    <w:rsid w:val="41535F7C"/>
    <w:rsid w:val="41A63F34"/>
    <w:rsid w:val="42AC416E"/>
    <w:rsid w:val="430A4C1A"/>
    <w:rsid w:val="431D40C5"/>
    <w:rsid w:val="436C5E2D"/>
    <w:rsid w:val="437D39A2"/>
    <w:rsid w:val="437E6A5B"/>
    <w:rsid w:val="43AF585B"/>
    <w:rsid w:val="43C24D89"/>
    <w:rsid w:val="442067EF"/>
    <w:rsid w:val="44233468"/>
    <w:rsid w:val="447A643D"/>
    <w:rsid w:val="44FD11A6"/>
    <w:rsid w:val="454D0FFE"/>
    <w:rsid w:val="45607BB1"/>
    <w:rsid w:val="45B927DD"/>
    <w:rsid w:val="468247BC"/>
    <w:rsid w:val="46881BF1"/>
    <w:rsid w:val="469F0A9E"/>
    <w:rsid w:val="46BA36E0"/>
    <w:rsid w:val="46DA0A9C"/>
    <w:rsid w:val="47827AE0"/>
    <w:rsid w:val="4811012B"/>
    <w:rsid w:val="4875408B"/>
    <w:rsid w:val="48C50C7E"/>
    <w:rsid w:val="48CF5C36"/>
    <w:rsid w:val="49343AAC"/>
    <w:rsid w:val="49F75108"/>
    <w:rsid w:val="4A621CD0"/>
    <w:rsid w:val="4B0A3A73"/>
    <w:rsid w:val="4B180A62"/>
    <w:rsid w:val="4B1C0CA8"/>
    <w:rsid w:val="4B5B288F"/>
    <w:rsid w:val="4B5C6F5D"/>
    <w:rsid w:val="4C0250F8"/>
    <w:rsid w:val="4C0E1C7B"/>
    <w:rsid w:val="4C3363A1"/>
    <w:rsid w:val="4C556E4C"/>
    <w:rsid w:val="4C9A3F50"/>
    <w:rsid w:val="4D29754E"/>
    <w:rsid w:val="4D3D0335"/>
    <w:rsid w:val="4D3F41D3"/>
    <w:rsid w:val="4D492011"/>
    <w:rsid w:val="4D563963"/>
    <w:rsid w:val="4D64779D"/>
    <w:rsid w:val="4D6F005D"/>
    <w:rsid w:val="4D961BE8"/>
    <w:rsid w:val="4DA1181F"/>
    <w:rsid w:val="4DC4669F"/>
    <w:rsid w:val="4DC95A8B"/>
    <w:rsid w:val="4DD359C4"/>
    <w:rsid w:val="4DE94B51"/>
    <w:rsid w:val="4E2B4906"/>
    <w:rsid w:val="4E3174EC"/>
    <w:rsid w:val="4F511D40"/>
    <w:rsid w:val="4F5A68F2"/>
    <w:rsid w:val="4F7D6943"/>
    <w:rsid w:val="4F806125"/>
    <w:rsid w:val="4FE47F7D"/>
    <w:rsid w:val="4FF47B65"/>
    <w:rsid w:val="4FF71CFC"/>
    <w:rsid w:val="4FFA570E"/>
    <w:rsid w:val="50033575"/>
    <w:rsid w:val="5004339B"/>
    <w:rsid w:val="500D4DCD"/>
    <w:rsid w:val="508514D6"/>
    <w:rsid w:val="50AA5AE5"/>
    <w:rsid w:val="50DC0239"/>
    <w:rsid w:val="50F14121"/>
    <w:rsid w:val="51231DF2"/>
    <w:rsid w:val="51AE71F6"/>
    <w:rsid w:val="51D72CB1"/>
    <w:rsid w:val="523555EC"/>
    <w:rsid w:val="52586C57"/>
    <w:rsid w:val="525D6583"/>
    <w:rsid w:val="52607735"/>
    <w:rsid w:val="526401F6"/>
    <w:rsid w:val="529657D0"/>
    <w:rsid w:val="52D30F0B"/>
    <w:rsid w:val="53350847"/>
    <w:rsid w:val="53851A96"/>
    <w:rsid w:val="5432541E"/>
    <w:rsid w:val="54487E14"/>
    <w:rsid w:val="54BE1E3F"/>
    <w:rsid w:val="54CC3A0C"/>
    <w:rsid w:val="54D32A41"/>
    <w:rsid w:val="54D658C5"/>
    <w:rsid w:val="55432A8B"/>
    <w:rsid w:val="555302BE"/>
    <w:rsid w:val="55A64208"/>
    <w:rsid w:val="560C5A76"/>
    <w:rsid w:val="5617739C"/>
    <w:rsid w:val="5635514E"/>
    <w:rsid w:val="56D3497A"/>
    <w:rsid w:val="56EB61C5"/>
    <w:rsid w:val="571E31A3"/>
    <w:rsid w:val="571E57DC"/>
    <w:rsid w:val="5752344C"/>
    <w:rsid w:val="576C7713"/>
    <w:rsid w:val="57C71CB3"/>
    <w:rsid w:val="58594DCC"/>
    <w:rsid w:val="58711B6E"/>
    <w:rsid w:val="58957043"/>
    <w:rsid w:val="58DB426C"/>
    <w:rsid w:val="58DD0A30"/>
    <w:rsid w:val="58E1190D"/>
    <w:rsid w:val="58FF2585"/>
    <w:rsid w:val="592B5E3D"/>
    <w:rsid w:val="599E4BE5"/>
    <w:rsid w:val="59A07D17"/>
    <w:rsid w:val="59DE55FD"/>
    <w:rsid w:val="5A123B43"/>
    <w:rsid w:val="5A1F6527"/>
    <w:rsid w:val="5A2B7352"/>
    <w:rsid w:val="5A4F4E45"/>
    <w:rsid w:val="5A584D94"/>
    <w:rsid w:val="5A76409B"/>
    <w:rsid w:val="5AC75083"/>
    <w:rsid w:val="5ADC5E19"/>
    <w:rsid w:val="5B055F33"/>
    <w:rsid w:val="5B57399E"/>
    <w:rsid w:val="5B6B4F9B"/>
    <w:rsid w:val="5B841BB9"/>
    <w:rsid w:val="5BC81F59"/>
    <w:rsid w:val="5BCA5273"/>
    <w:rsid w:val="5BF64EA5"/>
    <w:rsid w:val="5C122023"/>
    <w:rsid w:val="5C1D2A29"/>
    <w:rsid w:val="5C2A2C44"/>
    <w:rsid w:val="5C584438"/>
    <w:rsid w:val="5D1F1716"/>
    <w:rsid w:val="5D484969"/>
    <w:rsid w:val="5D6E4C3E"/>
    <w:rsid w:val="5D9A321A"/>
    <w:rsid w:val="5DC31F1F"/>
    <w:rsid w:val="5DC741A2"/>
    <w:rsid w:val="5DCE4A78"/>
    <w:rsid w:val="5DD92A99"/>
    <w:rsid w:val="5E333A0C"/>
    <w:rsid w:val="5E353760"/>
    <w:rsid w:val="5E4D3BC3"/>
    <w:rsid w:val="5E7F3AD0"/>
    <w:rsid w:val="5ED0639A"/>
    <w:rsid w:val="5EE431C3"/>
    <w:rsid w:val="5F633D97"/>
    <w:rsid w:val="5F68443A"/>
    <w:rsid w:val="5F731427"/>
    <w:rsid w:val="5F794FD8"/>
    <w:rsid w:val="5F9863B3"/>
    <w:rsid w:val="5FBF2771"/>
    <w:rsid w:val="5FEB21EB"/>
    <w:rsid w:val="607A107F"/>
    <w:rsid w:val="60807933"/>
    <w:rsid w:val="60B40B05"/>
    <w:rsid w:val="610D7999"/>
    <w:rsid w:val="611E4F49"/>
    <w:rsid w:val="61DA1914"/>
    <w:rsid w:val="61EA4E6B"/>
    <w:rsid w:val="621E18D8"/>
    <w:rsid w:val="62592108"/>
    <w:rsid w:val="626D426F"/>
    <w:rsid w:val="627A50C0"/>
    <w:rsid w:val="62C1731B"/>
    <w:rsid w:val="62C52941"/>
    <w:rsid w:val="62CE653B"/>
    <w:rsid w:val="63126C60"/>
    <w:rsid w:val="632B7B03"/>
    <w:rsid w:val="633F5689"/>
    <w:rsid w:val="64633954"/>
    <w:rsid w:val="64747F00"/>
    <w:rsid w:val="64CE1203"/>
    <w:rsid w:val="65622887"/>
    <w:rsid w:val="6579272A"/>
    <w:rsid w:val="661E62B7"/>
    <w:rsid w:val="66AA6977"/>
    <w:rsid w:val="66DF07B8"/>
    <w:rsid w:val="671C07A9"/>
    <w:rsid w:val="67421BF9"/>
    <w:rsid w:val="677F21DA"/>
    <w:rsid w:val="678A2D0A"/>
    <w:rsid w:val="67900263"/>
    <w:rsid w:val="68185D47"/>
    <w:rsid w:val="682D6DC6"/>
    <w:rsid w:val="683775FD"/>
    <w:rsid w:val="683C7167"/>
    <w:rsid w:val="689F73B6"/>
    <w:rsid w:val="691B1349"/>
    <w:rsid w:val="694E136C"/>
    <w:rsid w:val="69934A52"/>
    <w:rsid w:val="69987D3F"/>
    <w:rsid w:val="69E10F81"/>
    <w:rsid w:val="6A4C602D"/>
    <w:rsid w:val="6A5B6056"/>
    <w:rsid w:val="6AB20273"/>
    <w:rsid w:val="6AFE45CE"/>
    <w:rsid w:val="6B1306D6"/>
    <w:rsid w:val="6B282026"/>
    <w:rsid w:val="6B4F1E6C"/>
    <w:rsid w:val="6BA16DE0"/>
    <w:rsid w:val="6BE7033B"/>
    <w:rsid w:val="6BFD2CD8"/>
    <w:rsid w:val="6C195B2B"/>
    <w:rsid w:val="6C1F70F1"/>
    <w:rsid w:val="6C2B259B"/>
    <w:rsid w:val="6C2E3F07"/>
    <w:rsid w:val="6C3E2EE3"/>
    <w:rsid w:val="6C417D7E"/>
    <w:rsid w:val="6C4D1617"/>
    <w:rsid w:val="6CC2052E"/>
    <w:rsid w:val="6CD7098F"/>
    <w:rsid w:val="6D341BBA"/>
    <w:rsid w:val="6D482EEE"/>
    <w:rsid w:val="6D487755"/>
    <w:rsid w:val="6D9114BE"/>
    <w:rsid w:val="6DBF0F93"/>
    <w:rsid w:val="6DD84D88"/>
    <w:rsid w:val="6E32177C"/>
    <w:rsid w:val="6E5339CF"/>
    <w:rsid w:val="6E8F0074"/>
    <w:rsid w:val="6F920654"/>
    <w:rsid w:val="6FA36659"/>
    <w:rsid w:val="6FBC0729"/>
    <w:rsid w:val="6FF34773"/>
    <w:rsid w:val="70076DDF"/>
    <w:rsid w:val="704049C6"/>
    <w:rsid w:val="70683BA9"/>
    <w:rsid w:val="706A7393"/>
    <w:rsid w:val="7109160D"/>
    <w:rsid w:val="713A0E81"/>
    <w:rsid w:val="71520624"/>
    <w:rsid w:val="71525EA2"/>
    <w:rsid w:val="715C163A"/>
    <w:rsid w:val="721065DD"/>
    <w:rsid w:val="721B72C2"/>
    <w:rsid w:val="726374E1"/>
    <w:rsid w:val="7316122F"/>
    <w:rsid w:val="73206DE5"/>
    <w:rsid w:val="73441D24"/>
    <w:rsid w:val="735E6C99"/>
    <w:rsid w:val="73696082"/>
    <w:rsid w:val="739419D4"/>
    <w:rsid w:val="73EC3DE0"/>
    <w:rsid w:val="73FF7E83"/>
    <w:rsid w:val="745434E8"/>
    <w:rsid w:val="7478091A"/>
    <w:rsid w:val="748128E5"/>
    <w:rsid w:val="74A137E9"/>
    <w:rsid w:val="74FF5AEF"/>
    <w:rsid w:val="753161E2"/>
    <w:rsid w:val="754B3A1B"/>
    <w:rsid w:val="75796B20"/>
    <w:rsid w:val="75850301"/>
    <w:rsid w:val="75892461"/>
    <w:rsid w:val="759210D0"/>
    <w:rsid w:val="759F5B15"/>
    <w:rsid w:val="75FC4E22"/>
    <w:rsid w:val="76065718"/>
    <w:rsid w:val="760E2DFE"/>
    <w:rsid w:val="76133454"/>
    <w:rsid w:val="76676633"/>
    <w:rsid w:val="76882FE4"/>
    <w:rsid w:val="7702221C"/>
    <w:rsid w:val="771B25EA"/>
    <w:rsid w:val="77522D3F"/>
    <w:rsid w:val="7775008E"/>
    <w:rsid w:val="77D31D73"/>
    <w:rsid w:val="78503BB3"/>
    <w:rsid w:val="78833EFA"/>
    <w:rsid w:val="78A04C36"/>
    <w:rsid w:val="78C338C8"/>
    <w:rsid w:val="78FA1090"/>
    <w:rsid w:val="790F2350"/>
    <w:rsid w:val="79725A1A"/>
    <w:rsid w:val="79BA116F"/>
    <w:rsid w:val="79EE0C57"/>
    <w:rsid w:val="7A956099"/>
    <w:rsid w:val="7AAF79BA"/>
    <w:rsid w:val="7B21178E"/>
    <w:rsid w:val="7B2F62E4"/>
    <w:rsid w:val="7B497C36"/>
    <w:rsid w:val="7B6503BE"/>
    <w:rsid w:val="7B7870BD"/>
    <w:rsid w:val="7C1E2A06"/>
    <w:rsid w:val="7C375428"/>
    <w:rsid w:val="7C520487"/>
    <w:rsid w:val="7D233B80"/>
    <w:rsid w:val="7D351B20"/>
    <w:rsid w:val="7D7D66E8"/>
    <w:rsid w:val="7D845FBE"/>
    <w:rsid w:val="7DDC3F4B"/>
    <w:rsid w:val="7E0E1C67"/>
    <w:rsid w:val="7E1732B7"/>
    <w:rsid w:val="7E2712B5"/>
    <w:rsid w:val="7E8E556F"/>
    <w:rsid w:val="7E9F16AA"/>
    <w:rsid w:val="7EA22D23"/>
    <w:rsid w:val="7EFB055C"/>
    <w:rsid w:val="7F0561F0"/>
    <w:rsid w:val="7F7A629C"/>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1"/>
    <w:autoRedefine/>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62"/>
    <w:autoRedefine/>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3"/>
    <w:autoRedefine/>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4"/>
    <w:autoRedefine/>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5"/>
    <w:autoRedefine/>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6"/>
    <w:autoRedefine/>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7"/>
    <w:autoRedefine/>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8"/>
    <w:autoRedefine/>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9"/>
    <w:autoRedefine/>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6">
    <w:name w:val="Default Paragraph Font"/>
    <w:autoRedefine/>
    <w:qFormat/>
    <w:uiPriority w:val="0"/>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0"/>
    <w:autoRedefine/>
    <w:qFormat/>
    <w:uiPriority w:val="0"/>
    <w:pPr>
      <w:shd w:val="clear" w:color="auto" w:fill="000080"/>
    </w:pPr>
    <w:rPr>
      <w:kern w:val="2"/>
      <w:sz w:val="21"/>
      <w:szCs w:val="24"/>
      <w:shd w:val="clear" w:color="auto" w:fill="000080"/>
    </w:rPr>
  </w:style>
  <w:style w:type="paragraph" w:styleId="15">
    <w:name w:val="annotation text"/>
    <w:basedOn w:val="1"/>
    <w:link w:val="71"/>
    <w:autoRedefine/>
    <w:qFormat/>
    <w:uiPriority w:val="0"/>
    <w:pPr>
      <w:jc w:val="left"/>
    </w:pPr>
    <w:rPr>
      <w:kern w:val="2"/>
      <w:sz w:val="21"/>
      <w:szCs w:val="24"/>
    </w:rPr>
  </w:style>
  <w:style w:type="paragraph" w:styleId="16">
    <w:name w:val="Body Text 3"/>
    <w:basedOn w:val="1"/>
    <w:link w:val="72"/>
    <w:autoRedefine/>
    <w:qFormat/>
    <w:uiPriority w:val="0"/>
    <w:pPr>
      <w:spacing w:after="120" w:afterLines="0"/>
    </w:pPr>
    <w:rPr>
      <w:rFonts w:eastAsia="宋体"/>
      <w:kern w:val="2"/>
      <w:sz w:val="16"/>
      <w:szCs w:val="16"/>
      <w:lang w:val="en-US" w:eastAsia="zh-CN" w:bidi="ar-SA"/>
    </w:rPr>
  </w:style>
  <w:style w:type="paragraph" w:styleId="17">
    <w:name w:val="Closing"/>
    <w:basedOn w:val="1"/>
    <w:autoRedefine/>
    <w:qFormat/>
    <w:uiPriority w:val="0"/>
    <w:pPr>
      <w:ind w:leftChars="2100"/>
    </w:pPr>
    <w:rPr>
      <w:rFonts w:hint="eastAsia" w:ascii="仿宋_GB2312" w:eastAsia="仿宋_GB2312"/>
      <w:sz w:val="30"/>
    </w:rPr>
  </w:style>
  <w:style w:type="paragraph" w:styleId="18">
    <w:name w:val="Body Text"/>
    <w:basedOn w:val="1"/>
    <w:link w:val="73"/>
    <w:autoRedefine/>
    <w:qFormat/>
    <w:uiPriority w:val="0"/>
    <w:pPr>
      <w:spacing w:after="120" w:afterLines="0"/>
    </w:pPr>
    <w:rPr>
      <w:kern w:val="2"/>
      <w:sz w:val="21"/>
      <w:szCs w:val="24"/>
    </w:rPr>
  </w:style>
  <w:style w:type="paragraph" w:styleId="19">
    <w:name w:val="Body Text Indent"/>
    <w:basedOn w:val="1"/>
    <w:next w:val="20"/>
    <w:link w:val="74"/>
    <w:autoRedefine/>
    <w:qFormat/>
    <w:uiPriority w:val="0"/>
    <w:pPr>
      <w:spacing w:after="120" w:afterLines="0"/>
      <w:ind w:left="420" w:leftChars="200"/>
    </w:pPr>
    <w:rPr>
      <w:kern w:val="2"/>
      <w:sz w:val="21"/>
      <w:szCs w:val="24"/>
    </w:rPr>
  </w:style>
  <w:style w:type="paragraph" w:styleId="20">
    <w:name w:val="envelope return"/>
    <w:basedOn w:val="1"/>
    <w:autoRedefine/>
    <w:qFormat/>
    <w:uiPriority w:val="0"/>
    <w:pPr>
      <w:widowControl w:val="0"/>
      <w:snapToGrid w:val="0"/>
      <w:spacing w:line="360" w:lineRule="auto"/>
      <w:jc w:val="both"/>
    </w:pPr>
    <w:rPr>
      <w:rFonts w:ascii="Arial" w:hAnsi="Arial" w:eastAsia="宋体" w:cs="Times New Roman"/>
      <w:sz w:val="24"/>
      <w:lang w:val="en-US" w:eastAsia="zh-CN" w:bidi="ar-SA"/>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0"/>
    <w:pPr>
      <w:tabs>
        <w:tab w:val="right" w:leader="dot" w:pos="8296"/>
      </w:tabs>
      <w:ind w:left="1050" w:leftChars="500"/>
    </w:pPr>
    <w:rPr>
      <w:rFonts w:ascii="Calibri" w:hAnsi="Calibri"/>
      <w:szCs w:val="22"/>
    </w:rPr>
  </w:style>
  <w:style w:type="paragraph" w:styleId="23">
    <w:name w:val="toc 3"/>
    <w:basedOn w:val="1"/>
    <w:next w:val="1"/>
    <w:autoRedefine/>
    <w:qFormat/>
    <w:uiPriority w:val="0"/>
    <w:pPr>
      <w:ind w:left="840" w:leftChars="400"/>
    </w:pPr>
    <w:rPr>
      <w:rFonts w:ascii="Calibri" w:hAnsi="Calibri"/>
      <w:szCs w:val="22"/>
    </w:rPr>
  </w:style>
  <w:style w:type="paragraph" w:styleId="24">
    <w:name w:val="Plain Text"/>
    <w:basedOn w:val="1"/>
    <w:link w:val="75"/>
    <w:autoRedefine/>
    <w:qFormat/>
    <w:uiPriority w:val="0"/>
    <w:rPr>
      <w:rFonts w:ascii="宋体" w:hAnsi="Courier New" w:eastAsia="宋体" w:cs="Courier New"/>
      <w:kern w:val="2"/>
      <w:sz w:val="21"/>
      <w:szCs w:val="21"/>
      <w:lang w:val="en-US" w:eastAsia="zh-CN" w:bidi="ar-SA"/>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76"/>
    <w:autoRedefine/>
    <w:qFormat/>
    <w:uiPriority w:val="0"/>
    <w:pPr>
      <w:ind w:left="100" w:leftChars="2500"/>
    </w:pPr>
    <w:rPr>
      <w:kern w:val="2"/>
      <w:sz w:val="21"/>
      <w:szCs w:val="24"/>
    </w:rPr>
  </w:style>
  <w:style w:type="paragraph" w:styleId="27">
    <w:name w:val="Body Text Indent 2"/>
    <w:basedOn w:val="1"/>
    <w:link w:val="77"/>
    <w:autoRedefine/>
    <w:qFormat/>
    <w:uiPriority w:val="0"/>
    <w:pPr>
      <w:spacing w:after="120" w:afterLines="0" w:line="480" w:lineRule="auto"/>
      <w:ind w:left="420" w:leftChars="200"/>
    </w:pPr>
    <w:rPr>
      <w:kern w:val="2"/>
      <w:sz w:val="21"/>
      <w:szCs w:val="24"/>
    </w:rPr>
  </w:style>
  <w:style w:type="paragraph" w:styleId="28">
    <w:name w:val="Balloon Text"/>
    <w:basedOn w:val="1"/>
    <w:link w:val="78"/>
    <w:autoRedefine/>
    <w:qFormat/>
    <w:uiPriority w:val="0"/>
    <w:rPr>
      <w:kern w:val="2"/>
      <w:sz w:val="18"/>
      <w:szCs w:val="18"/>
    </w:rPr>
  </w:style>
  <w:style w:type="paragraph" w:styleId="29">
    <w:name w:val="footer"/>
    <w:basedOn w:val="1"/>
    <w:link w:val="79"/>
    <w:autoRedefine/>
    <w:qFormat/>
    <w:uiPriority w:val="0"/>
    <w:pPr>
      <w:tabs>
        <w:tab w:val="center" w:pos="4153"/>
        <w:tab w:val="right" w:pos="8306"/>
      </w:tabs>
      <w:snapToGrid w:val="0"/>
      <w:jc w:val="left"/>
    </w:pPr>
    <w:rPr>
      <w:kern w:val="2"/>
      <w:sz w:val="18"/>
      <w:szCs w:val="18"/>
    </w:rPr>
  </w:style>
  <w:style w:type="paragraph" w:styleId="30">
    <w:name w:val="header"/>
    <w:basedOn w:val="1"/>
    <w:link w:val="80"/>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32">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3">
    <w:name w:val="index heading"/>
    <w:basedOn w:val="1"/>
    <w:next w:val="34"/>
    <w:autoRedefine/>
    <w:semiHidden/>
    <w:qFormat/>
    <w:uiPriority w:val="0"/>
  </w:style>
  <w:style w:type="paragraph" w:styleId="34">
    <w:name w:val="index 1"/>
    <w:basedOn w:val="1"/>
    <w:next w:val="1"/>
    <w:autoRedefine/>
    <w:qFormat/>
    <w:uiPriority w:val="0"/>
    <w:rPr>
      <w:rFonts w:ascii="宋体" w:hAnsi="宋体"/>
      <w:b/>
      <w:bCs/>
    </w:rPr>
  </w:style>
  <w:style w:type="paragraph" w:styleId="35">
    <w:name w:val="Subtitle"/>
    <w:basedOn w:val="1"/>
    <w:next w:val="1"/>
    <w:link w:val="8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82"/>
    <w:autoRedefine/>
    <w:qFormat/>
    <w:uiPriority w:val="0"/>
    <w:pPr>
      <w:spacing w:after="120" w:afterLines="0"/>
      <w:ind w:left="420" w:leftChars="200"/>
    </w:pPr>
    <w:rPr>
      <w:kern w:val="2"/>
      <w:sz w:val="16"/>
      <w:szCs w:val="16"/>
    </w:rPr>
  </w:style>
  <w:style w:type="paragraph" w:styleId="38">
    <w:name w:val="toc 2"/>
    <w:basedOn w:val="1"/>
    <w:next w:val="1"/>
    <w:autoRedefine/>
    <w:qFormat/>
    <w:uiPriority w:val="0"/>
    <w:pPr>
      <w:ind w:left="420" w:leftChars="200"/>
    </w:pPr>
    <w:rPr>
      <w:rFonts w:ascii="宋体"/>
      <w:b/>
      <w:sz w:val="28"/>
      <w:szCs w:val="20"/>
    </w:rPr>
  </w:style>
  <w:style w:type="paragraph" w:styleId="39">
    <w:name w:val="toc 9"/>
    <w:basedOn w:val="1"/>
    <w:next w:val="1"/>
    <w:autoRedefine/>
    <w:qFormat/>
    <w:uiPriority w:val="0"/>
    <w:pPr>
      <w:ind w:left="3360" w:leftChars="1600"/>
    </w:pPr>
    <w:rPr>
      <w:rFonts w:ascii="Calibri" w:hAnsi="Calibri"/>
      <w:szCs w:val="22"/>
    </w:rPr>
  </w:style>
  <w:style w:type="paragraph" w:styleId="40">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1">
    <w:name w:val="Title"/>
    <w:basedOn w:val="1"/>
    <w:next w:val="1"/>
    <w:link w:val="83"/>
    <w:autoRedefine/>
    <w:qFormat/>
    <w:uiPriority w:val="0"/>
    <w:pPr>
      <w:spacing w:before="240" w:beforeLines="0" w:after="60" w:afterLines="0"/>
      <w:jc w:val="center"/>
      <w:outlineLvl w:val="0"/>
    </w:pPr>
    <w:rPr>
      <w:rFonts w:ascii="Cambria" w:hAnsi="Cambria"/>
      <w:b/>
      <w:bCs/>
      <w:kern w:val="2"/>
      <w:sz w:val="32"/>
      <w:szCs w:val="32"/>
    </w:rPr>
  </w:style>
  <w:style w:type="paragraph" w:styleId="42">
    <w:name w:val="annotation subject"/>
    <w:basedOn w:val="15"/>
    <w:next w:val="15"/>
    <w:link w:val="84"/>
    <w:autoRedefine/>
    <w:qFormat/>
    <w:uiPriority w:val="0"/>
    <w:rPr>
      <w:b/>
      <w:bCs/>
      <w:kern w:val="2"/>
      <w:sz w:val="21"/>
      <w:szCs w:val="24"/>
    </w:rPr>
  </w:style>
  <w:style w:type="paragraph" w:styleId="43">
    <w:name w:val="Body Text First Indent 2"/>
    <w:basedOn w:val="19"/>
    <w:next w:val="1"/>
    <w:autoRedefine/>
    <w:qFormat/>
    <w:uiPriority w:val="0"/>
    <w:pPr>
      <w:spacing w:line="360" w:lineRule="exact"/>
      <w:ind w:firstLine="420" w:firstLineChars="200"/>
    </w:pPr>
    <w:rPr>
      <w:rFonts w:eastAsia="仿宋_GB2312"/>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rPr>
  </w:style>
  <w:style w:type="character" w:styleId="48">
    <w:name w:val="page number"/>
    <w:basedOn w:val="46"/>
    <w:autoRedefine/>
    <w:qFormat/>
    <w:uiPriority w:val="0"/>
  </w:style>
  <w:style w:type="character" w:styleId="49">
    <w:name w:val="FollowedHyperlink"/>
    <w:basedOn w:val="46"/>
    <w:autoRedefine/>
    <w:qFormat/>
    <w:uiPriority w:val="0"/>
    <w:rPr>
      <w:color w:val="800080"/>
      <w:u w:val="none"/>
    </w:rPr>
  </w:style>
  <w:style w:type="character" w:styleId="50">
    <w:name w:val="Emphasis"/>
    <w:autoRedefine/>
    <w:qFormat/>
    <w:uiPriority w:val="0"/>
    <w:rPr>
      <w:i/>
      <w:iCs/>
    </w:rPr>
  </w:style>
  <w:style w:type="character" w:styleId="51">
    <w:name w:val="HTML Definition"/>
    <w:basedOn w:val="46"/>
    <w:autoRedefine/>
    <w:qFormat/>
    <w:uiPriority w:val="0"/>
  </w:style>
  <w:style w:type="character" w:styleId="52">
    <w:name w:val="HTML Typewriter"/>
    <w:basedOn w:val="46"/>
    <w:autoRedefine/>
    <w:qFormat/>
    <w:uiPriority w:val="0"/>
    <w:rPr>
      <w:rFonts w:hint="default" w:ascii="monospace" w:hAnsi="monospace" w:eastAsia="monospace" w:cs="monospace"/>
      <w:sz w:val="20"/>
    </w:rPr>
  </w:style>
  <w:style w:type="character" w:styleId="53">
    <w:name w:val="HTML Acronym"/>
    <w:basedOn w:val="46"/>
    <w:autoRedefine/>
    <w:qFormat/>
    <w:uiPriority w:val="0"/>
  </w:style>
  <w:style w:type="character" w:styleId="54">
    <w:name w:val="HTML Variable"/>
    <w:basedOn w:val="46"/>
    <w:autoRedefine/>
    <w:qFormat/>
    <w:uiPriority w:val="0"/>
  </w:style>
  <w:style w:type="character" w:styleId="55">
    <w:name w:val="Hyperlink"/>
    <w:basedOn w:val="46"/>
    <w:autoRedefine/>
    <w:qFormat/>
    <w:uiPriority w:val="0"/>
    <w:rPr>
      <w:color w:val="0000FF"/>
      <w:u w:val="none"/>
    </w:rPr>
  </w:style>
  <w:style w:type="character" w:styleId="56">
    <w:name w:val="HTML Code"/>
    <w:basedOn w:val="46"/>
    <w:autoRedefine/>
    <w:qFormat/>
    <w:uiPriority w:val="0"/>
    <w:rPr>
      <w:rFonts w:ascii="monospace" w:hAnsi="monospace" w:eastAsia="monospace" w:cs="monospace"/>
      <w:sz w:val="20"/>
    </w:rPr>
  </w:style>
  <w:style w:type="character" w:styleId="57">
    <w:name w:val="annotation reference"/>
    <w:autoRedefine/>
    <w:qFormat/>
    <w:uiPriority w:val="0"/>
    <w:rPr>
      <w:sz w:val="21"/>
      <w:szCs w:val="21"/>
    </w:rPr>
  </w:style>
  <w:style w:type="character" w:styleId="58">
    <w:name w:val="HTML Cite"/>
    <w:basedOn w:val="46"/>
    <w:autoRedefine/>
    <w:qFormat/>
    <w:uiPriority w:val="0"/>
  </w:style>
  <w:style w:type="character" w:styleId="59">
    <w:name w:val="HTML Keyboard"/>
    <w:basedOn w:val="46"/>
    <w:autoRedefine/>
    <w:qFormat/>
    <w:uiPriority w:val="0"/>
    <w:rPr>
      <w:rFonts w:hint="default" w:ascii="monospace" w:hAnsi="monospace" w:eastAsia="monospace" w:cs="monospace"/>
      <w:sz w:val="20"/>
    </w:rPr>
  </w:style>
  <w:style w:type="character" w:styleId="60">
    <w:name w:val="HTML Sample"/>
    <w:basedOn w:val="46"/>
    <w:autoRedefine/>
    <w:qFormat/>
    <w:uiPriority w:val="0"/>
    <w:rPr>
      <w:rFonts w:hint="default" w:ascii="monospace" w:hAnsi="monospace" w:eastAsia="monospace" w:cs="monospace"/>
    </w:rPr>
  </w:style>
  <w:style w:type="character" w:customStyle="1" w:styleId="61">
    <w:name w:val="标题 1 字符1"/>
    <w:link w:val="3"/>
    <w:autoRedefine/>
    <w:qFormat/>
    <w:uiPriority w:val="0"/>
    <w:rPr>
      <w:b/>
      <w:bCs/>
      <w:kern w:val="44"/>
      <w:sz w:val="44"/>
      <w:szCs w:val="44"/>
    </w:rPr>
  </w:style>
  <w:style w:type="character" w:customStyle="1" w:styleId="62">
    <w:name w:val="标题 2 字符1"/>
    <w:link w:val="2"/>
    <w:autoRedefine/>
    <w:qFormat/>
    <w:uiPriority w:val="0"/>
    <w:rPr>
      <w:rFonts w:ascii="Arial" w:hAnsi="Arial" w:eastAsia="黑体"/>
      <w:b/>
      <w:bCs/>
      <w:kern w:val="2"/>
      <w:sz w:val="32"/>
      <w:szCs w:val="32"/>
    </w:rPr>
  </w:style>
  <w:style w:type="character" w:customStyle="1" w:styleId="63">
    <w:name w:val="标题 3 Char Char"/>
    <w:basedOn w:val="46"/>
    <w:link w:val="4"/>
    <w:autoRedefine/>
    <w:qFormat/>
    <w:uiPriority w:val="0"/>
    <w:rPr>
      <w:b/>
      <w:bCs/>
      <w:kern w:val="2"/>
      <w:sz w:val="32"/>
      <w:szCs w:val="32"/>
    </w:rPr>
  </w:style>
  <w:style w:type="character" w:customStyle="1" w:styleId="64">
    <w:name w:val="标题 4 字符"/>
    <w:link w:val="5"/>
    <w:autoRedefine/>
    <w:qFormat/>
    <w:uiPriority w:val="0"/>
    <w:rPr>
      <w:rFonts w:ascii="Arial" w:hAnsi="Arial" w:eastAsia="黑体"/>
      <w:b/>
      <w:bCs/>
      <w:kern w:val="2"/>
      <w:sz w:val="28"/>
      <w:szCs w:val="28"/>
    </w:rPr>
  </w:style>
  <w:style w:type="character" w:customStyle="1" w:styleId="65">
    <w:name w:val="标题 5 字符"/>
    <w:link w:val="6"/>
    <w:autoRedefine/>
    <w:qFormat/>
    <w:uiPriority w:val="0"/>
    <w:rPr>
      <w:rFonts w:ascii="Calibri" w:hAnsi="Calibri"/>
      <w:b/>
      <w:bCs/>
      <w:kern w:val="2"/>
      <w:sz w:val="28"/>
      <w:szCs w:val="28"/>
    </w:rPr>
  </w:style>
  <w:style w:type="character" w:customStyle="1" w:styleId="66">
    <w:name w:val="标题 6 字符"/>
    <w:link w:val="7"/>
    <w:autoRedefine/>
    <w:qFormat/>
    <w:uiPriority w:val="0"/>
    <w:rPr>
      <w:rFonts w:ascii="Cambria" w:hAnsi="Cambria"/>
      <w:b/>
      <w:bCs/>
      <w:kern w:val="2"/>
      <w:sz w:val="24"/>
      <w:szCs w:val="24"/>
    </w:rPr>
  </w:style>
  <w:style w:type="character" w:customStyle="1" w:styleId="67">
    <w:name w:val="标题 7 Char Char"/>
    <w:basedOn w:val="46"/>
    <w:link w:val="8"/>
    <w:autoRedefine/>
    <w:qFormat/>
    <w:uiPriority w:val="0"/>
    <w:rPr>
      <w:b/>
      <w:bCs/>
      <w:kern w:val="2"/>
      <w:sz w:val="24"/>
      <w:szCs w:val="24"/>
    </w:rPr>
  </w:style>
  <w:style w:type="character" w:customStyle="1" w:styleId="68">
    <w:name w:val="标题 8 Char Char"/>
    <w:basedOn w:val="46"/>
    <w:link w:val="9"/>
    <w:autoRedefine/>
    <w:qFormat/>
    <w:uiPriority w:val="0"/>
    <w:rPr>
      <w:rFonts w:ascii="Cambria" w:hAnsi="Cambria" w:eastAsia="宋体" w:cs="Times New Roman"/>
      <w:kern w:val="2"/>
      <w:sz w:val="24"/>
      <w:szCs w:val="24"/>
    </w:rPr>
  </w:style>
  <w:style w:type="character" w:customStyle="1" w:styleId="69">
    <w:name w:val="标题 9 字符"/>
    <w:link w:val="10"/>
    <w:autoRedefine/>
    <w:qFormat/>
    <w:uiPriority w:val="0"/>
    <w:rPr>
      <w:rFonts w:ascii="Cambria" w:hAnsi="Cambria"/>
      <w:kern w:val="2"/>
      <w:sz w:val="21"/>
      <w:szCs w:val="21"/>
    </w:rPr>
  </w:style>
  <w:style w:type="character" w:customStyle="1" w:styleId="70">
    <w:name w:val="文档结构图 字符"/>
    <w:link w:val="14"/>
    <w:autoRedefine/>
    <w:qFormat/>
    <w:uiPriority w:val="0"/>
    <w:rPr>
      <w:kern w:val="2"/>
      <w:sz w:val="21"/>
      <w:szCs w:val="24"/>
      <w:shd w:val="clear" w:color="auto" w:fill="000080"/>
    </w:rPr>
  </w:style>
  <w:style w:type="character" w:customStyle="1" w:styleId="71">
    <w:name w:val="批注文字 Char Char Char"/>
    <w:basedOn w:val="46"/>
    <w:link w:val="15"/>
    <w:autoRedefine/>
    <w:qFormat/>
    <w:uiPriority w:val="0"/>
    <w:rPr>
      <w:kern w:val="2"/>
      <w:sz w:val="21"/>
      <w:szCs w:val="24"/>
    </w:rPr>
  </w:style>
  <w:style w:type="character" w:customStyle="1" w:styleId="72">
    <w:name w:val="正文文本 3 Char Char"/>
    <w:link w:val="16"/>
    <w:autoRedefine/>
    <w:qFormat/>
    <w:uiPriority w:val="0"/>
    <w:rPr>
      <w:rFonts w:eastAsia="宋体"/>
      <w:kern w:val="2"/>
      <w:sz w:val="16"/>
      <w:szCs w:val="16"/>
      <w:lang w:val="en-US" w:eastAsia="zh-CN" w:bidi="ar-SA"/>
    </w:rPr>
  </w:style>
  <w:style w:type="character" w:customStyle="1" w:styleId="73">
    <w:name w:val="正文文本 字符2"/>
    <w:link w:val="18"/>
    <w:autoRedefine/>
    <w:qFormat/>
    <w:uiPriority w:val="0"/>
    <w:rPr>
      <w:kern w:val="2"/>
      <w:sz w:val="21"/>
      <w:szCs w:val="24"/>
    </w:rPr>
  </w:style>
  <w:style w:type="character" w:customStyle="1" w:styleId="74">
    <w:name w:val="正文文本缩进 Char Char"/>
    <w:basedOn w:val="46"/>
    <w:link w:val="19"/>
    <w:autoRedefine/>
    <w:qFormat/>
    <w:uiPriority w:val="0"/>
    <w:rPr>
      <w:kern w:val="2"/>
      <w:sz w:val="21"/>
      <w:szCs w:val="24"/>
    </w:rPr>
  </w:style>
  <w:style w:type="character" w:customStyle="1" w:styleId="75">
    <w:name w:val="纯文本 Char1"/>
    <w:link w:val="24"/>
    <w:autoRedefine/>
    <w:qFormat/>
    <w:uiPriority w:val="0"/>
    <w:rPr>
      <w:rFonts w:ascii="宋体" w:hAnsi="Courier New" w:eastAsia="宋体" w:cs="Courier New"/>
      <w:kern w:val="2"/>
      <w:sz w:val="21"/>
      <w:szCs w:val="21"/>
      <w:lang w:val="en-US" w:eastAsia="zh-CN" w:bidi="ar-SA"/>
    </w:rPr>
  </w:style>
  <w:style w:type="character" w:customStyle="1" w:styleId="76">
    <w:name w:val="日期 字符2"/>
    <w:link w:val="26"/>
    <w:autoRedefine/>
    <w:qFormat/>
    <w:uiPriority w:val="0"/>
    <w:rPr>
      <w:kern w:val="2"/>
      <w:sz w:val="21"/>
      <w:szCs w:val="24"/>
    </w:rPr>
  </w:style>
  <w:style w:type="character" w:customStyle="1" w:styleId="77">
    <w:name w:val="正文文本缩进 2 字符"/>
    <w:link w:val="27"/>
    <w:autoRedefine/>
    <w:qFormat/>
    <w:uiPriority w:val="0"/>
    <w:rPr>
      <w:kern w:val="2"/>
      <w:sz w:val="21"/>
      <w:szCs w:val="24"/>
    </w:rPr>
  </w:style>
  <w:style w:type="character" w:customStyle="1" w:styleId="78">
    <w:name w:val="批注框文本 字符2"/>
    <w:link w:val="28"/>
    <w:autoRedefine/>
    <w:qFormat/>
    <w:uiPriority w:val="0"/>
    <w:rPr>
      <w:kern w:val="2"/>
      <w:sz w:val="18"/>
      <w:szCs w:val="18"/>
    </w:rPr>
  </w:style>
  <w:style w:type="character" w:customStyle="1" w:styleId="79">
    <w:name w:val="页脚 字符2"/>
    <w:link w:val="29"/>
    <w:autoRedefine/>
    <w:qFormat/>
    <w:uiPriority w:val="0"/>
    <w:rPr>
      <w:kern w:val="2"/>
      <w:sz w:val="18"/>
      <w:szCs w:val="18"/>
    </w:rPr>
  </w:style>
  <w:style w:type="character" w:customStyle="1" w:styleId="80">
    <w:name w:val="页眉 Char Char"/>
    <w:basedOn w:val="46"/>
    <w:link w:val="30"/>
    <w:autoRedefine/>
    <w:qFormat/>
    <w:uiPriority w:val="0"/>
    <w:rPr>
      <w:kern w:val="2"/>
      <w:sz w:val="18"/>
      <w:szCs w:val="18"/>
    </w:rPr>
  </w:style>
  <w:style w:type="character" w:customStyle="1" w:styleId="81">
    <w:name w:val="副标题 字符2"/>
    <w:link w:val="35"/>
    <w:autoRedefine/>
    <w:qFormat/>
    <w:uiPriority w:val="0"/>
    <w:rPr>
      <w:rFonts w:ascii="Cambria" w:hAnsi="Cambria"/>
      <w:b/>
      <w:bCs/>
      <w:kern w:val="28"/>
      <w:sz w:val="32"/>
      <w:szCs w:val="32"/>
    </w:rPr>
  </w:style>
  <w:style w:type="character" w:customStyle="1" w:styleId="82">
    <w:name w:val="正文文本缩进 3 字符"/>
    <w:link w:val="37"/>
    <w:autoRedefine/>
    <w:qFormat/>
    <w:uiPriority w:val="0"/>
    <w:rPr>
      <w:kern w:val="2"/>
      <w:sz w:val="16"/>
      <w:szCs w:val="16"/>
    </w:rPr>
  </w:style>
  <w:style w:type="character" w:customStyle="1" w:styleId="83">
    <w:name w:val="标题 字符"/>
    <w:link w:val="41"/>
    <w:autoRedefine/>
    <w:qFormat/>
    <w:uiPriority w:val="0"/>
    <w:rPr>
      <w:rFonts w:ascii="Cambria" w:hAnsi="Cambria"/>
      <w:b/>
      <w:bCs/>
      <w:kern w:val="2"/>
      <w:sz w:val="32"/>
      <w:szCs w:val="32"/>
    </w:rPr>
  </w:style>
  <w:style w:type="character" w:customStyle="1" w:styleId="84">
    <w:name w:val="批注主题 字符2"/>
    <w:link w:val="42"/>
    <w:autoRedefine/>
    <w:qFormat/>
    <w:uiPriority w:val="0"/>
    <w:rPr>
      <w:b/>
      <w:bCs/>
      <w:kern w:val="2"/>
      <w:sz w:val="21"/>
      <w:szCs w:val="24"/>
    </w:rPr>
  </w:style>
  <w:style w:type="character" w:customStyle="1" w:styleId="85">
    <w:name w:val="标题 5 Char Char"/>
    <w:basedOn w:val="46"/>
    <w:link w:val="6"/>
    <w:autoRedefine/>
    <w:qFormat/>
    <w:uiPriority w:val="0"/>
    <w:rPr>
      <w:b/>
      <w:bCs/>
      <w:kern w:val="2"/>
      <w:sz w:val="28"/>
      <w:szCs w:val="28"/>
    </w:rPr>
  </w:style>
  <w:style w:type="character" w:customStyle="1" w:styleId="86">
    <w:name w:val="标题 6 Char Char"/>
    <w:basedOn w:val="46"/>
    <w:link w:val="7"/>
    <w:autoRedefine/>
    <w:qFormat/>
    <w:uiPriority w:val="0"/>
    <w:rPr>
      <w:rFonts w:ascii="Cambria" w:hAnsi="Cambria" w:eastAsia="宋体" w:cs="Times New Roman"/>
      <w:b/>
      <w:bCs/>
      <w:kern w:val="2"/>
      <w:sz w:val="24"/>
      <w:szCs w:val="24"/>
    </w:rPr>
  </w:style>
  <w:style w:type="character" w:customStyle="1" w:styleId="87">
    <w:name w:val="标题 7 字符"/>
    <w:link w:val="8"/>
    <w:autoRedefine/>
    <w:qFormat/>
    <w:uiPriority w:val="0"/>
    <w:rPr>
      <w:rFonts w:ascii="Calibri" w:hAnsi="Calibri"/>
      <w:b/>
      <w:bCs/>
      <w:kern w:val="2"/>
      <w:sz w:val="24"/>
      <w:szCs w:val="24"/>
    </w:rPr>
  </w:style>
  <w:style w:type="character" w:customStyle="1" w:styleId="88">
    <w:name w:val="标题 8 字符"/>
    <w:link w:val="9"/>
    <w:autoRedefine/>
    <w:qFormat/>
    <w:uiPriority w:val="0"/>
    <w:rPr>
      <w:rFonts w:ascii="Cambria" w:hAnsi="Cambria"/>
      <w:kern w:val="2"/>
      <w:sz w:val="24"/>
      <w:szCs w:val="24"/>
    </w:rPr>
  </w:style>
  <w:style w:type="character" w:customStyle="1" w:styleId="89">
    <w:name w:val="标题 9 Char Char"/>
    <w:basedOn w:val="46"/>
    <w:link w:val="10"/>
    <w:autoRedefine/>
    <w:qFormat/>
    <w:uiPriority w:val="0"/>
    <w:rPr>
      <w:rFonts w:ascii="Cambria" w:hAnsi="Cambria" w:eastAsia="宋体" w:cs="Times New Roman"/>
      <w:kern w:val="2"/>
      <w:sz w:val="21"/>
      <w:szCs w:val="21"/>
    </w:rPr>
  </w:style>
  <w:style w:type="character" w:customStyle="1" w:styleId="90">
    <w:name w:val="批注主题 Char Char"/>
    <w:basedOn w:val="71"/>
    <w:autoRedefine/>
    <w:qFormat/>
    <w:uiPriority w:val="0"/>
    <w:rPr>
      <w:b/>
      <w:bCs/>
    </w:rPr>
  </w:style>
  <w:style w:type="character" w:customStyle="1" w:styleId="91">
    <w:name w:val="日期 字符"/>
    <w:autoRedefine/>
    <w:qFormat/>
    <w:uiPriority w:val="0"/>
    <w:rPr>
      <w:rFonts w:ascii="宋体" w:hAnsi="Times New Roman"/>
      <w:sz w:val="28"/>
    </w:rPr>
  </w:style>
  <w:style w:type="character" w:customStyle="1" w:styleId="92">
    <w:name w:val="批注主题 字符1"/>
    <w:autoRedefine/>
    <w:qFormat/>
    <w:uiPriority w:val="0"/>
    <w:rPr>
      <w:b/>
      <w:bCs/>
      <w:kern w:val="2"/>
      <w:sz w:val="21"/>
      <w:szCs w:val="22"/>
    </w:rPr>
  </w:style>
  <w:style w:type="character" w:customStyle="1" w:styleId="93">
    <w:name w:val="副标题 Char Char"/>
    <w:basedOn w:val="46"/>
    <w:autoRedefine/>
    <w:qFormat/>
    <w:uiPriority w:val="0"/>
    <w:rPr>
      <w:rFonts w:ascii="Cambria" w:hAnsi="Cambria" w:cs="Times New Roman"/>
      <w:b/>
      <w:bCs/>
      <w:kern w:val="28"/>
      <w:sz w:val="32"/>
      <w:szCs w:val="32"/>
    </w:rPr>
  </w:style>
  <w:style w:type="character" w:customStyle="1" w:styleId="94">
    <w:name w:val="文档结构图 Char1"/>
    <w:autoRedefine/>
    <w:qFormat/>
    <w:uiPriority w:val="0"/>
    <w:rPr>
      <w:rFonts w:ascii="宋体"/>
      <w:kern w:val="2"/>
      <w:sz w:val="18"/>
      <w:szCs w:val="18"/>
    </w:rPr>
  </w:style>
  <w:style w:type="character" w:customStyle="1" w:styleId="95">
    <w:name w:val="批注主题 Char1"/>
    <w:autoRedefine/>
    <w:qFormat/>
    <w:uiPriority w:val="0"/>
    <w:rPr>
      <w:b/>
      <w:bCs/>
      <w:kern w:val="2"/>
      <w:sz w:val="21"/>
      <w:szCs w:val="22"/>
    </w:rPr>
  </w:style>
  <w:style w:type="character" w:customStyle="1" w:styleId="96">
    <w:name w:val="页眉 字符"/>
    <w:autoRedefine/>
    <w:qFormat/>
    <w:uiPriority w:val="0"/>
    <w:rPr>
      <w:kern w:val="2"/>
      <w:sz w:val="18"/>
      <w:szCs w:val="18"/>
    </w:rPr>
  </w:style>
  <w:style w:type="character" w:customStyle="1" w:styleId="97">
    <w:name w:val="页眉 字符1"/>
    <w:autoRedefine/>
    <w:qFormat/>
    <w:uiPriority w:val="0"/>
    <w:rPr>
      <w:kern w:val="2"/>
      <w:sz w:val="18"/>
      <w:szCs w:val="18"/>
    </w:rPr>
  </w:style>
  <w:style w:type="character" w:customStyle="1" w:styleId="98">
    <w:name w:val=" Char Char1_0"/>
    <w:link w:val="99"/>
    <w:autoRedefine/>
    <w:qFormat/>
    <w:uiPriority w:val="0"/>
    <w:rPr>
      <w:kern w:val="2"/>
      <w:sz w:val="21"/>
      <w:szCs w:val="24"/>
    </w:rPr>
  </w:style>
  <w:style w:type="paragraph" w:customStyle="1" w:styleId="99">
    <w:name w:val="日期_0_0"/>
    <w:basedOn w:val="100"/>
    <w:next w:val="100"/>
    <w:link w:val="98"/>
    <w:autoRedefine/>
    <w:qFormat/>
    <w:uiPriority w:val="0"/>
    <w:pPr>
      <w:ind w:left="100" w:leftChars="2500"/>
    </w:pPr>
    <w:rPr>
      <w:kern w:val="2"/>
      <w:sz w:val="21"/>
      <w:szCs w:val="24"/>
    </w:rPr>
  </w:style>
  <w:style w:type="paragraph" w:customStyle="1" w:styleId="10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标题 1 Char_3"/>
    <w:link w:val="102"/>
    <w:autoRedefine/>
    <w:qFormat/>
    <w:uiPriority w:val="0"/>
    <w:rPr>
      <w:b/>
      <w:kern w:val="44"/>
      <w:sz w:val="44"/>
    </w:rPr>
  </w:style>
  <w:style w:type="paragraph" w:customStyle="1" w:styleId="102">
    <w:name w:val="标题 1_4"/>
    <w:basedOn w:val="103"/>
    <w:next w:val="103"/>
    <w:link w:val="101"/>
    <w:autoRedefine/>
    <w:qFormat/>
    <w:uiPriority w:val="0"/>
    <w:pPr>
      <w:keepNext/>
      <w:keepLines/>
      <w:spacing w:before="340" w:beforeLines="0" w:after="330" w:afterLines="0" w:line="576" w:lineRule="auto"/>
      <w:outlineLvl w:val="0"/>
    </w:pPr>
    <w:rPr>
      <w:b/>
      <w:kern w:val="44"/>
      <w:sz w:val="44"/>
    </w:rPr>
  </w:style>
  <w:style w:type="paragraph" w:customStyle="1" w:styleId="103">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4">
    <w:name w:val="标题 字符1"/>
    <w:autoRedefine/>
    <w:qFormat/>
    <w:uiPriority w:val="0"/>
    <w:rPr>
      <w:rFonts w:ascii="等线 Light" w:hAnsi="等线 Light" w:eastAsia="等线 Light" w:cs="Times New Roman"/>
      <w:b/>
      <w:bCs/>
      <w:kern w:val="2"/>
      <w:sz w:val="32"/>
      <w:szCs w:val="32"/>
    </w:rPr>
  </w:style>
  <w:style w:type="character" w:customStyle="1" w:styleId="105">
    <w:name w:val="页脚 字符"/>
    <w:autoRedefine/>
    <w:qFormat/>
    <w:uiPriority w:val="0"/>
    <w:rPr>
      <w:kern w:val="2"/>
      <w:sz w:val="18"/>
      <w:szCs w:val="18"/>
    </w:rPr>
  </w:style>
  <w:style w:type="character" w:customStyle="1" w:styleId="106">
    <w:name w:val="无间隔 字符"/>
    <w:link w:val="107"/>
    <w:autoRedefine/>
    <w:qFormat/>
    <w:uiPriority w:val="0"/>
    <w:rPr>
      <w:rFonts w:ascii="Calibri" w:hAnsi="Calibri"/>
      <w:kern w:val="2"/>
      <w:sz w:val="22"/>
      <w:lang w:val="en-US" w:eastAsia="zh-CN" w:bidi="ar-SA"/>
    </w:rPr>
  </w:style>
  <w:style w:type="paragraph" w:styleId="107">
    <w:name w:val="No Spacing"/>
    <w:link w:val="106"/>
    <w:autoRedefine/>
    <w:qFormat/>
    <w:uiPriority w:val="0"/>
    <w:rPr>
      <w:rFonts w:ascii="Calibri" w:hAnsi="Calibri" w:eastAsia="宋体" w:cs="Times New Roman"/>
      <w:kern w:val="2"/>
      <w:sz w:val="22"/>
      <w:lang w:val="en-US" w:eastAsia="zh-CN" w:bidi="ar-SA"/>
    </w:rPr>
  </w:style>
  <w:style w:type="character" w:customStyle="1" w:styleId="108">
    <w:name w:val="批注文字 字符"/>
    <w:autoRedefine/>
    <w:qFormat/>
    <w:uiPriority w:val="0"/>
    <w:rPr>
      <w:kern w:val="2"/>
      <w:sz w:val="21"/>
      <w:szCs w:val="22"/>
    </w:rPr>
  </w:style>
  <w:style w:type="character" w:customStyle="1" w:styleId="109">
    <w:name w:val="_Style 106"/>
    <w:autoRedefine/>
    <w:qFormat/>
    <w:uiPriority w:val="0"/>
    <w:rPr>
      <w:b/>
      <w:bCs/>
      <w:i/>
      <w:iCs/>
      <w:color w:val="4F81BD"/>
    </w:rPr>
  </w:style>
  <w:style w:type="character" w:customStyle="1" w:styleId="110">
    <w:name w:val="日期 字符1"/>
    <w:autoRedefine/>
    <w:qFormat/>
    <w:uiPriority w:val="0"/>
    <w:rPr>
      <w:kern w:val="2"/>
      <w:sz w:val="21"/>
      <w:szCs w:val="22"/>
    </w:rPr>
  </w:style>
  <w:style w:type="character" w:customStyle="1" w:styleId="111">
    <w:name w:val="日期 Char1"/>
    <w:autoRedefine/>
    <w:qFormat/>
    <w:uiPriority w:val="0"/>
    <w:rPr>
      <w:kern w:val="2"/>
      <w:sz w:val="21"/>
      <w:szCs w:val="22"/>
    </w:rPr>
  </w:style>
  <w:style w:type="character" w:customStyle="1" w:styleId="112">
    <w:name w:val="textcontents"/>
    <w:autoRedefine/>
    <w:qFormat/>
    <w:uiPriority w:val="0"/>
    <w:rPr>
      <w:rFonts w:cs="Times New Roman"/>
    </w:rPr>
  </w:style>
  <w:style w:type="character" w:customStyle="1" w:styleId="113">
    <w:name w:val="标题 2 字符"/>
    <w:autoRedefine/>
    <w:qFormat/>
    <w:uiPriority w:val="0"/>
    <w:rPr>
      <w:rFonts w:ascii="Cambria" w:hAnsi="Cambria" w:eastAsia="宋体" w:cs="Times New Roman"/>
      <w:b/>
      <w:bCs/>
      <w:kern w:val="2"/>
      <w:sz w:val="32"/>
      <w:szCs w:val="32"/>
    </w:rPr>
  </w:style>
  <w:style w:type="character" w:customStyle="1" w:styleId="114">
    <w:name w:val="标题 3 字符1"/>
    <w:autoRedefine/>
    <w:qFormat/>
    <w:uiPriority w:val="0"/>
    <w:rPr>
      <w:b/>
      <w:bCs/>
      <w:kern w:val="2"/>
      <w:sz w:val="32"/>
      <w:szCs w:val="32"/>
    </w:rPr>
  </w:style>
  <w:style w:type="character" w:customStyle="1" w:styleId="115">
    <w:name w:val="日期 Char_0"/>
    <w:link w:val="116"/>
    <w:autoRedefine/>
    <w:qFormat/>
    <w:uiPriority w:val="0"/>
    <w:rPr>
      <w:kern w:val="2"/>
      <w:sz w:val="21"/>
    </w:rPr>
  </w:style>
  <w:style w:type="paragraph" w:customStyle="1" w:styleId="116">
    <w:name w:val="日期_1"/>
    <w:basedOn w:val="117"/>
    <w:next w:val="117"/>
    <w:link w:val="115"/>
    <w:autoRedefine/>
    <w:qFormat/>
    <w:uiPriority w:val="0"/>
    <w:pPr>
      <w:ind w:left="100" w:leftChars="2500"/>
    </w:pPr>
    <w:rPr>
      <w:kern w:val="2"/>
      <w:sz w:val="21"/>
    </w:rPr>
  </w:style>
  <w:style w:type="paragraph" w:customStyle="1" w:styleId="117">
    <w:name w:val="正文_4"/>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8">
    <w:name w:val="标题 1 Char_1"/>
    <w:link w:val="119"/>
    <w:autoRedefine/>
    <w:qFormat/>
    <w:uiPriority w:val="0"/>
    <w:rPr>
      <w:b/>
      <w:kern w:val="44"/>
      <w:sz w:val="44"/>
    </w:rPr>
  </w:style>
  <w:style w:type="paragraph" w:customStyle="1" w:styleId="119">
    <w:name w:val="标题 1_2"/>
    <w:basedOn w:val="120"/>
    <w:next w:val="120"/>
    <w:link w:val="118"/>
    <w:autoRedefine/>
    <w:qFormat/>
    <w:uiPriority w:val="0"/>
    <w:pPr>
      <w:keepNext/>
      <w:keepLines/>
      <w:spacing w:before="340" w:beforeLines="0" w:after="330" w:afterLines="0" w:line="576" w:lineRule="auto"/>
      <w:outlineLvl w:val="0"/>
    </w:pPr>
    <w:rPr>
      <w:b/>
      <w:kern w:val="44"/>
      <w:sz w:val="44"/>
    </w:rPr>
  </w:style>
  <w:style w:type="paragraph" w:customStyle="1" w:styleId="120">
    <w:name w:val="正文_3"/>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1">
    <w:name w:val="批注文字 Char Char"/>
    <w:autoRedefine/>
    <w:qFormat/>
    <w:uiPriority w:val="0"/>
    <w:rPr>
      <w:rFonts w:ascii="宋体" w:hAnsi="Times New Roman" w:eastAsia="宋体" w:cs="Times New Roman"/>
      <w:sz w:val="28"/>
      <w:szCs w:val="20"/>
    </w:rPr>
  </w:style>
  <w:style w:type="character" w:customStyle="1" w:styleId="122">
    <w:name w:val="引用 字符1"/>
    <w:autoRedefine/>
    <w:qFormat/>
    <w:uiPriority w:val="0"/>
    <w:rPr>
      <w:i/>
      <w:iCs/>
      <w:color w:val="404040"/>
      <w:kern w:val="2"/>
      <w:sz w:val="21"/>
      <w:szCs w:val="22"/>
    </w:rPr>
  </w:style>
  <w:style w:type="character" w:customStyle="1" w:styleId="123">
    <w:name w:val="明显引用 字符"/>
    <w:autoRedefine/>
    <w:qFormat/>
    <w:uiPriority w:val="0"/>
    <w:rPr>
      <w:b/>
      <w:bCs/>
      <w:i/>
      <w:iCs/>
      <w:color w:val="4F81BD"/>
      <w:kern w:val="2"/>
      <w:sz w:val="21"/>
      <w:szCs w:val="22"/>
    </w:rPr>
  </w:style>
  <w:style w:type="character" w:customStyle="1" w:styleId="124">
    <w:name w:val="正文文本缩进 字符"/>
    <w:autoRedefine/>
    <w:qFormat/>
    <w:uiPriority w:val="0"/>
    <w:rPr>
      <w:b/>
      <w:kern w:val="2"/>
      <w:sz w:val="21"/>
      <w:szCs w:val="24"/>
    </w:rPr>
  </w:style>
  <w:style w:type="character" w:customStyle="1" w:styleId="125">
    <w:name w:val="标题 3 Char_0"/>
    <w:link w:val="126"/>
    <w:autoRedefine/>
    <w:qFormat/>
    <w:uiPriority w:val="0"/>
    <w:rPr>
      <w:b/>
      <w:kern w:val="2"/>
      <w:sz w:val="32"/>
    </w:rPr>
  </w:style>
  <w:style w:type="paragraph" w:customStyle="1" w:styleId="126">
    <w:name w:val="标题 3_0"/>
    <w:basedOn w:val="120"/>
    <w:next w:val="120"/>
    <w:link w:val="125"/>
    <w:autoRedefine/>
    <w:qFormat/>
    <w:uiPriority w:val="0"/>
    <w:pPr>
      <w:keepNext/>
      <w:keepLines/>
      <w:spacing w:before="260" w:beforeLines="0" w:after="260" w:afterLines="0" w:line="413" w:lineRule="auto"/>
      <w:outlineLvl w:val="2"/>
    </w:pPr>
    <w:rPr>
      <w:b/>
      <w:kern w:val="2"/>
      <w:sz w:val="32"/>
    </w:rPr>
  </w:style>
  <w:style w:type="character" w:customStyle="1" w:styleId="127">
    <w:name w:val="标题 3 字符"/>
    <w:autoRedefine/>
    <w:qFormat/>
    <w:uiPriority w:val="0"/>
    <w:rPr>
      <w:b/>
      <w:bCs/>
      <w:kern w:val="2"/>
      <w:sz w:val="32"/>
      <w:szCs w:val="32"/>
    </w:rPr>
  </w:style>
  <w:style w:type="character" w:customStyle="1" w:styleId="128">
    <w:name w:val="批注主题 字符"/>
    <w:autoRedefine/>
    <w:qFormat/>
    <w:uiPriority w:val="0"/>
    <w:rPr>
      <w:rFonts w:ascii="宋体" w:hAnsi="Times New Roman"/>
      <w:b/>
      <w:bCs/>
      <w:sz w:val="28"/>
    </w:rPr>
  </w:style>
  <w:style w:type="character" w:customStyle="1" w:styleId="129">
    <w:name w:val=" Char Char Char"/>
    <w:link w:val="130"/>
    <w:autoRedefine/>
    <w:qFormat/>
    <w:uiPriority w:val="0"/>
    <w:rPr>
      <w:b/>
      <w:kern w:val="2"/>
      <w:sz w:val="21"/>
      <w:szCs w:val="24"/>
    </w:rPr>
  </w:style>
  <w:style w:type="paragraph" w:customStyle="1" w:styleId="130">
    <w:name w:val="正文文本缩进_0"/>
    <w:basedOn w:val="131"/>
    <w:link w:val="129"/>
    <w:autoRedefine/>
    <w:qFormat/>
    <w:uiPriority w:val="0"/>
    <w:pPr>
      <w:ind w:firstLine="210"/>
    </w:pPr>
    <w:rPr>
      <w:b/>
      <w:kern w:val="2"/>
      <w:sz w:val="21"/>
      <w:szCs w:val="24"/>
    </w:rPr>
  </w:style>
  <w:style w:type="paragraph" w:customStyle="1" w:styleId="13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明显引用 Char Char"/>
    <w:basedOn w:val="46"/>
    <w:autoRedefine/>
    <w:qFormat/>
    <w:uiPriority w:val="0"/>
    <w:rPr>
      <w:b/>
      <w:bCs/>
      <w:i/>
      <w:iCs/>
      <w:color w:val="4F81BD"/>
      <w:kern w:val="2"/>
      <w:sz w:val="21"/>
      <w:szCs w:val="24"/>
    </w:rPr>
  </w:style>
  <w:style w:type="character" w:customStyle="1" w:styleId="133">
    <w:name w:val="副标题 字符"/>
    <w:autoRedefine/>
    <w:qFormat/>
    <w:uiPriority w:val="0"/>
    <w:rPr>
      <w:rFonts w:ascii="Cambria" w:hAnsi="Cambria" w:cs="Times New Roman"/>
      <w:b/>
      <w:bCs/>
      <w:kern w:val="28"/>
      <w:sz w:val="32"/>
      <w:szCs w:val="32"/>
    </w:rPr>
  </w:style>
  <w:style w:type="character" w:customStyle="1" w:styleId="134">
    <w:name w:val="_Style 131"/>
    <w:autoRedefine/>
    <w:qFormat/>
    <w:uiPriority w:val="0"/>
    <w:rPr>
      <w:i/>
      <w:iCs/>
      <w:color w:val="808080"/>
    </w:rPr>
  </w:style>
  <w:style w:type="character" w:customStyle="1" w:styleId="135">
    <w:name w:val=" Char Char4"/>
    <w:link w:val="136"/>
    <w:autoRedefine/>
    <w:qFormat/>
    <w:uiPriority w:val="0"/>
    <w:rPr>
      <w:b/>
      <w:kern w:val="44"/>
      <w:sz w:val="44"/>
    </w:rPr>
  </w:style>
  <w:style w:type="paragraph" w:customStyle="1" w:styleId="136">
    <w:name w:val="标题 1_0"/>
    <w:basedOn w:val="131"/>
    <w:next w:val="131"/>
    <w:link w:val="135"/>
    <w:autoRedefine/>
    <w:qFormat/>
    <w:uiPriority w:val="0"/>
    <w:pPr>
      <w:keepNext/>
      <w:keepLines/>
      <w:spacing w:before="340" w:beforeLines="0" w:after="330" w:afterLines="0" w:line="576" w:lineRule="auto"/>
      <w:outlineLvl w:val="0"/>
    </w:pPr>
    <w:rPr>
      <w:b/>
      <w:kern w:val="44"/>
      <w:sz w:val="44"/>
    </w:rPr>
  </w:style>
  <w:style w:type="character" w:customStyle="1" w:styleId="137">
    <w:name w:val="正文文本 Char Char"/>
    <w:basedOn w:val="46"/>
    <w:autoRedefine/>
    <w:qFormat/>
    <w:uiPriority w:val="0"/>
    <w:rPr>
      <w:kern w:val="2"/>
      <w:sz w:val="21"/>
      <w:szCs w:val="24"/>
    </w:rPr>
  </w:style>
  <w:style w:type="character" w:customStyle="1" w:styleId="138">
    <w:name w:val="明显引用 字符1"/>
    <w:autoRedefine/>
    <w:qFormat/>
    <w:uiPriority w:val="0"/>
    <w:rPr>
      <w:i/>
      <w:iCs/>
      <w:color w:val="5B9BD5"/>
      <w:kern w:val="2"/>
      <w:sz w:val="21"/>
      <w:szCs w:val="22"/>
    </w:rPr>
  </w:style>
  <w:style w:type="character" w:customStyle="1" w:styleId="139">
    <w:name w:val="引用 Char Char"/>
    <w:basedOn w:val="46"/>
    <w:autoRedefine/>
    <w:qFormat/>
    <w:uiPriority w:val="0"/>
    <w:rPr>
      <w:i/>
      <w:iCs/>
      <w:color w:val="000000"/>
      <w:kern w:val="2"/>
      <w:sz w:val="21"/>
      <w:szCs w:val="24"/>
    </w:rPr>
  </w:style>
  <w:style w:type="character" w:customStyle="1" w:styleId="140">
    <w:name w:val="标题 1 字符"/>
    <w:autoRedefine/>
    <w:qFormat/>
    <w:uiPriority w:val="0"/>
    <w:rPr>
      <w:b/>
      <w:bCs/>
      <w:kern w:val="44"/>
      <w:sz w:val="44"/>
      <w:szCs w:val="44"/>
    </w:rPr>
  </w:style>
  <w:style w:type="character" w:customStyle="1" w:styleId="141">
    <w:name w:val="Char Char14"/>
    <w:autoRedefine/>
    <w:qFormat/>
    <w:uiPriority w:val="0"/>
    <w:rPr>
      <w:rFonts w:ascii="宋体" w:hAnsi="Courier New" w:eastAsia="宋体"/>
      <w:kern w:val="2"/>
      <w:sz w:val="21"/>
      <w:szCs w:val="21"/>
      <w:lang w:bidi="ar-SA"/>
    </w:rPr>
  </w:style>
  <w:style w:type="character" w:customStyle="1" w:styleId="142">
    <w:name w:val="apple-converted-space"/>
    <w:basedOn w:val="46"/>
    <w:autoRedefine/>
    <w:qFormat/>
    <w:uiPriority w:val="0"/>
  </w:style>
  <w:style w:type="character" w:customStyle="1" w:styleId="143">
    <w:name w:val="明显引用 字符2"/>
    <w:link w:val="144"/>
    <w:autoRedefine/>
    <w:qFormat/>
    <w:uiPriority w:val="0"/>
    <w:rPr>
      <w:b/>
      <w:bCs/>
      <w:i/>
      <w:iCs/>
      <w:color w:val="4F81BD"/>
      <w:kern w:val="2"/>
      <w:sz w:val="21"/>
      <w:szCs w:val="22"/>
    </w:rPr>
  </w:style>
  <w:style w:type="paragraph" w:styleId="144">
    <w:name w:val="Intense Quote"/>
    <w:basedOn w:val="1"/>
    <w:next w:val="1"/>
    <w:link w:val="143"/>
    <w:autoRedefine/>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5">
    <w:name w:val="正文文本缩进 3 Char Char"/>
    <w:basedOn w:val="46"/>
    <w:autoRedefine/>
    <w:qFormat/>
    <w:uiPriority w:val="0"/>
    <w:rPr>
      <w:kern w:val="2"/>
      <w:sz w:val="16"/>
      <w:szCs w:val="16"/>
    </w:rPr>
  </w:style>
  <w:style w:type="character" w:customStyle="1" w:styleId="146">
    <w:name w:val=" Char Char18"/>
    <w:autoRedefine/>
    <w:qFormat/>
    <w:uiPriority w:val="0"/>
    <w:rPr>
      <w:b/>
      <w:bCs/>
      <w:kern w:val="44"/>
      <w:sz w:val="44"/>
      <w:szCs w:val="44"/>
    </w:rPr>
  </w:style>
  <w:style w:type="character" w:customStyle="1" w:styleId="147">
    <w:name w:val="_Style 144"/>
    <w:autoRedefine/>
    <w:qFormat/>
    <w:uiPriority w:val="0"/>
    <w:rPr>
      <w:b/>
      <w:bCs/>
      <w:smallCaps/>
      <w:color w:val="C0504D"/>
      <w:spacing w:val="5"/>
      <w:u w:val="single"/>
    </w:rPr>
  </w:style>
  <w:style w:type="character" w:customStyle="1" w:styleId="148">
    <w:name w:val="批注文字 字符2"/>
    <w:autoRedefine/>
    <w:qFormat/>
    <w:uiPriority w:val="0"/>
    <w:rPr>
      <w:kern w:val="2"/>
      <w:sz w:val="21"/>
      <w:szCs w:val="24"/>
    </w:rPr>
  </w:style>
  <w:style w:type="character" w:customStyle="1" w:styleId="149">
    <w:name w:val="页脚 字符1"/>
    <w:autoRedefine/>
    <w:qFormat/>
    <w:uiPriority w:val="0"/>
    <w:rPr>
      <w:kern w:val="2"/>
      <w:sz w:val="18"/>
      <w:szCs w:val="18"/>
    </w:rPr>
  </w:style>
  <w:style w:type="character" w:customStyle="1" w:styleId="150">
    <w:name w:val="标题 1 Char_2"/>
    <w:link w:val="151"/>
    <w:autoRedefine/>
    <w:qFormat/>
    <w:uiPriority w:val="0"/>
    <w:rPr>
      <w:b/>
      <w:kern w:val="44"/>
      <w:sz w:val="44"/>
    </w:rPr>
  </w:style>
  <w:style w:type="paragraph" w:customStyle="1" w:styleId="151">
    <w:name w:val="标题 1_3"/>
    <w:basedOn w:val="117"/>
    <w:next w:val="117"/>
    <w:link w:val="150"/>
    <w:autoRedefine/>
    <w:qFormat/>
    <w:uiPriority w:val="0"/>
    <w:pPr>
      <w:keepNext/>
      <w:keepLines/>
      <w:spacing w:before="340" w:beforeLines="0" w:after="330" w:afterLines="0" w:line="576" w:lineRule="auto"/>
      <w:outlineLvl w:val="0"/>
    </w:pPr>
    <w:rPr>
      <w:b/>
      <w:kern w:val="44"/>
      <w:sz w:val="44"/>
    </w:rPr>
  </w:style>
  <w:style w:type="character" w:customStyle="1" w:styleId="152">
    <w:name w:val="正文文本 字符1"/>
    <w:autoRedefine/>
    <w:qFormat/>
    <w:uiPriority w:val="0"/>
    <w:rPr>
      <w:kern w:val="2"/>
      <w:sz w:val="21"/>
      <w:szCs w:val="22"/>
    </w:rPr>
  </w:style>
  <w:style w:type="character" w:customStyle="1" w:styleId="153">
    <w:name w:val="批注框文本 字符1"/>
    <w:autoRedefine/>
    <w:qFormat/>
    <w:uiPriority w:val="0"/>
    <w:rPr>
      <w:kern w:val="2"/>
      <w:sz w:val="18"/>
      <w:szCs w:val="18"/>
    </w:rPr>
  </w:style>
  <w:style w:type="character" w:customStyle="1" w:styleId="154">
    <w:name w:val="标题4 Char Char"/>
    <w:link w:val="155"/>
    <w:autoRedefine/>
    <w:qFormat/>
    <w:uiPriority w:val="0"/>
    <w:rPr>
      <w:rFonts w:ascii="Arial" w:hAnsi="Arial"/>
      <w:b/>
      <w:bCs/>
      <w:sz w:val="24"/>
      <w:szCs w:val="32"/>
    </w:rPr>
  </w:style>
  <w:style w:type="paragraph" w:customStyle="1" w:styleId="155">
    <w:name w:val="标题4"/>
    <w:basedOn w:val="2"/>
    <w:next w:val="21"/>
    <w:link w:val="154"/>
    <w:autoRedefine/>
    <w:qFormat/>
    <w:uiPriority w:val="0"/>
    <w:pPr>
      <w:spacing w:line="413" w:lineRule="auto"/>
    </w:pPr>
    <w:rPr>
      <w:rFonts w:ascii="Arial" w:hAnsi="Arial"/>
      <w:sz w:val="24"/>
      <w:szCs w:val="32"/>
    </w:rPr>
  </w:style>
  <w:style w:type="character" w:customStyle="1" w:styleId="156">
    <w:name w:val=" Char Char1"/>
    <w:link w:val="157"/>
    <w:autoRedefine/>
    <w:qFormat/>
    <w:uiPriority w:val="0"/>
    <w:rPr>
      <w:kern w:val="2"/>
      <w:sz w:val="21"/>
      <w:szCs w:val="24"/>
    </w:rPr>
  </w:style>
  <w:style w:type="paragraph" w:customStyle="1" w:styleId="157">
    <w:name w:val="日期_0"/>
    <w:basedOn w:val="131"/>
    <w:next w:val="131"/>
    <w:link w:val="156"/>
    <w:autoRedefine/>
    <w:qFormat/>
    <w:uiPriority w:val="0"/>
    <w:pPr>
      <w:ind w:left="100" w:leftChars="2500"/>
    </w:pPr>
    <w:rPr>
      <w:kern w:val="2"/>
      <w:sz w:val="21"/>
      <w:szCs w:val="24"/>
    </w:rPr>
  </w:style>
  <w:style w:type="character" w:customStyle="1" w:styleId="158">
    <w:name w:val="标题 Char Char"/>
    <w:basedOn w:val="46"/>
    <w:autoRedefine/>
    <w:qFormat/>
    <w:uiPriority w:val="0"/>
    <w:rPr>
      <w:rFonts w:ascii="Cambria" w:hAnsi="Cambria" w:cs="Times New Roman"/>
      <w:b/>
      <w:bCs/>
      <w:kern w:val="2"/>
      <w:sz w:val="32"/>
      <w:szCs w:val="32"/>
    </w:rPr>
  </w:style>
  <w:style w:type="character" w:customStyle="1" w:styleId="159">
    <w:name w:val="引用 字符"/>
    <w:autoRedefine/>
    <w:qFormat/>
    <w:uiPriority w:val="0"/>
    <w:rPr>
      <w:i/>
      <w:iCs/>
      <w:color w:val="000000"/>
      <w:kern w:val="2"/>
      <w:sz w:val="21"/>
      <w:szCs w:val="22"/>
    </w:rPr>
  </w:style>
  <w:style w:type="character" w:customStyle="1" w:styleId="160">
    <w:name w:val="_Style 157"/>
    <w:autoRedefine/>
    <w:qFormat/>
    <w:uiPriority w:val="0"/>
    <w:rPr>
      <w:b/>
      <w:bCs/>
      <w:smallCaps/>
      <w:spacing w:val="5"/>
    </w:rPr>
  </w:style>
  <w:style w:type="character" w:customStyle="1" w:styleId="161">
    <w:name w:val="正文文本缩进 2 Char Char"/>
    <w:basedOn w:val="46"/>
    <w:autoRedefine/>
    <w:qFormat/>
    <w:uiPriority w:val="0"/>
    <w:rPr>
      <w:kern w:val="2"/>
      <w:sz w:val="21"/>
      <w:szCs w:val="24"/>
    </w:rPr>
  </w:style>
  <w:style w:type="character" w:customStyle="1" w:styleId="162">
    <w:name w:val="页眉 字符2"/>
    <w:autoRedefine/>
    <w:qFormat/>
    <w:uiPriority w:val="0"/>
    <w:rPr>
      <w:kern w:val="2"/>
      <w:sz w:val="18"/>
      <w:szCs w:val="18"/>
    </w:rPr>
  </w:style>
  <w:style w:type="character" w:customStyle="1" w:styleId="163">
    <w:name w:val="_Style 160"/>
    <w:autoRedefine/>
    <w:qFormat/>
    <w:uiPriority w:val="0"/>
    <w:rPr>
      <w:smallCaps/>
      <w:color w:val="C0504D"/>
      <w:u w:val="single"/>
    </w:rPr>
  </w:style>
  <w:style w:type="character" w:customStyle="1" w:styleId="164">
    <w:name w:val="副标题 字符1"/>
    <w:autoRedefine/>
    <w:qFormat/>
    <w:uiPriority w:val="0"/>
    <w:rPr>
      <w:rFonts w:ascii="等线" w:hAnsi="等线" w:eastAsia="等线" w:cs="Times New Roman"/>
      <w:b/>
      <w:bCs/>
      <w:kern w:val="28"/>
      <w:sz w:val="32"/>
      <w:szCs w:val="32"/>
    </w:rPr>
  </w:style>
  <w:style w:type="character" w:customStyle="1" w:styleId="165">
    <w:name w:val="文档结构图 Char Char"/>
    <w:basedOn w:val="46"/>
    <w:autoRedefine/>
    <w:qFormat/>
    <w:uiPriority w:val="0"/>
    <w:rPr>
      <w:rFonts w:ascii="宋体"/>
      <w:kern w:val="2"/>
      <w:sz w:val="18"/>
      <w:szCs w:val="18"/>
    </w:rPr>
  </w:style>
  <w:style w:type="character" w:customStyle="1" w:styleId="166">
    <w:name w:val="引用 字符2"/>
    <w:link w:val="167"/>
    <w:autoRedefine/>
    <w:qFormat/>
    <w:uiPriority w:val="0"/>
    <w:rPr>
      <w:i/>
      <w:iCs/>
      <w:color w:val="000000"/>
      <w:kern w:val="2"/>
      <w:sz w:val="21"/>
      <w:szCs w:val="22"/>
    </w:rPr>
  </w:style>
  <w:style w:type="paragraph" w:styleId="167">
    <w:name w:val="Quote"/>
    <w:basedOn w:val="1"/>
    <w:next w:val="1"/>
    <w:link w:val="166"/>
    <w:autoRedefine/>
    <w:qFormat/>
    <w:uiPriority w:val="0"/>
    <w:rPr>
      <w:i/>
      <w:iCs/>
      <w:color w:val="000000"/>
      <w:kern w:val="2"/>
      <w:sz w:val="21"/>
      <w:szCs w:val="22"/>
    </w:rPr>
  </w:style>
  <w:style w:type="character" w:customStyle="1" w:styleId="168">
    <w:name w:val="批注框文本 Char1"/>
    <w:autoRedefine/>
    <w:qFormat/>
    <w:uiPriority w:val="0"/>
    <w:rPr>
      <w:kern w:val="2"/>
      <w:sz w:val="18"/>
      <w:szCs w:val="18"/>
    </w:rPr>
  </w:style>
  <w:style w:type="character" w:customStyle="1" w:styleId="169">
    <w:name w:val="批注框文本 字符"/>
    <w:autoRedefine/>
    <w:qFormat/>
    <w:uiPriority w:val="0"/>
    <w:rPr>
      <w:rFonts w:ascii="宋体" w:hAnsi="Times New Roman"/>
      <w:sz w:val="18"/>
      <w:szCs w:val="18"/>
    </w:rPr>
  </w:style>
  <w:style w:type="character" w:customStyle="1" w:styleId="170">
    <w:name w:val=" Char Char_0"/>
    <w:link w:val="171"/>
    <w:autoRedefine/>
    <w:qFormat/>
    <w:uiPriority w:val="0"/>
    <w:rPr>
      <w:b/>
      <w:kern w:val="2"/>
      <w:sz w:val="21"/>
      <w:szCs w:val="24"/>
    </w:rPr>
  </w:style>
  <w:style w:type="paragraph" w:customStyle="1" w:styleId="171">
    <w:name w:val="正文文本缩进_0_0"/>
    <w:basedOn w:val="100"/>
    <w:link w:val="170"/>
    <w:autoRedefine/>
    <w:qFormat/>
    <w:uiPriority w:val="0"/>
    <w:pPr>
      <w:ind w:firstLine="210"/>
    </w:pPr>
    <w:rPr>
      <w:b/>
      <w:kern w:val="2"/>
      <w:sz w:val="21"/>
      <w:szCs w:val="24"/>
    </w:rPr>
  </w:style>
  <w:style w:type="character" w:customStyle="1" w:styleId="172">
    <w:name w:val="正文文本 Char1"/>
    <w:autoRedefine/>
    <w:qFormat/>
    <w:uiPriority w:val="0"/>
    <w:rPr>
      <w:kern w:val="2"/>
      <w:sz w:val="21"/>
      <w:szCs w:val="22"/>
    </w:rPr>
  </w:style>
  <w:style w:type="character" w:customStyle="1" w:styleId="173">
    <w:name w:val="正文文本 字符"/>
    <w:autoRedefine/>
    <w:qFormat/>
    <w:uiPriority w:val="0"/>
    <w:rPr>
      <w:rFonts w:ascii="Times New Roman" w:hAnsi="Times New Roman"/>
    </w:rPr>
  </w:style>
  <w:style w:type="character" w:customStyle="1" w:styleId="174">
    <w:name w:val="纯文本 字符1"/>
    <w:autoRedefine/>
    <w:qFormat/>
    <w:uiPriority w:val="0"/>
    <w:rPr>
      <w:rFonts w:ascii="宋体" w:hAnsi="Courier New"/>
      <w:kern w:val="2"/>
      <w:sz w:val="21"/>
      <w:szCs w:val="21"/>
    </w:rPr>
  </w:style>
  <w:style w:type="character" w:customStyle="1" w:styleId="175">
    <w:name w:val="标题 1 Char_0"/>
    <w:link w:val="176"/>
    <w:autoRedefine/>
    <w:qFormat/>
    <w:uiPriority w:val="0"/>
    <w:rPr>
      <w:b/>
      <w:kern w:val="44"/>
      <w:sz w:val="44"/>
    </w:rPr>
  </w:style>
  <w:style w:type="paragraph" w:customStyle="1" w:styleId="176">
    <w:name w:val="标题 1_1"/>
    <w:basedOn w:val="177"/>
    <w:next w:val="177"/>
    <w:link w:val="175"/>
    <w:autoRedefine/>
    <w:qFormat/>
    <w:uiPriority w:val="0"/>
    <w:pPr>
      <w:keepNext/>
      <w:keepLines/>
      <w:spacing w:before="340" w:beforeLines="0" w:after="330" w:afterLines="0" w:line="576" w:lineRule="auto"/>
      <w:outlineLvl w:val="0"/>
    </w:pPr>
    <w:rPr>
      <w:b/>
      <w:kern w:val="44"/>
      <w:sz w:val="44"/>
    </w:rPr>
  </w:style>
  <w:style w:type="paragraph" w:customStyle="1" w:styleId="177">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8">
    <w:name w:val="批注文字 字符1"/>
    <w:autoRedefine/>
    <w:qFormat/>
    <w:uiPriority w:val="0"/>
    <w:rPr>
      <w:kern w:val="2"/>
      <w:sz w:val="21"/>
      <w:szCs w:val="22"/>
    </w:rPr>
  </w:style>
  <w:style w:type="character" w:customStyle="1" w:styleId="179">
    <w:name w:val="文档结构图 字符1"/>
    <w:autoRedefine/>
    <w:qFormat/>
    <w:uiPriority w:val="0"/>
    <w:rPr>
      <w:rFonts w:ascii="Microsoft YaHei UI" w:eastAsia="Microsoft YaHei UI"/>
      <w:kern w:val="2"/>
      <w:sz w:val="18"/>
      <w:szCs w:val="18"/>
    </w:rPr>
  </w:style>
  <w:style w:type="character" w:customStyle="1" w:styleId="180">
    <w:name w:val="标题5 Char Char"/>
    <w:link w:val="181"/>
    <w:autoRedefine/>
    <w:qFormat/>
    <w:uiPriority w:val="0"/>
    <w:rPr>
      <w:rFonts w:ascii="Arial" w:hAnsi="Arial"/>
      <w:b/>
      <w:bCs/>
      <w:sz w:val="24"/>
      <w:szCs w:val="32"/>
    </w:rPr>
  </w:style>
  <w:style w:type="paragraph" w:customStyle="1" w:styleId="181">
    <w:name w:val="标题5"/>
    <w:basedOn w:val="4"/>
    <w:link w:val="180"/>
    <w:autoRedefine/>
    <w:qFormat/>
    <w:uiPriority w:val="0"/>
    <w:pPr>
      <w:spacing w:line="413" w:lineRule="auto"/>
    </w:pPr>
    <w:rPr>
      <w:rFonts w:ascii="Arial" w:hAnsi="Arial"/>
      <w:sz w:val="24"/>
      <w:szCs w:val="32"/>
    </w:rPr>
  </w:style>
  <w:style w:type="character" w:customStyle="1" w:styleId="182">
    <w:name w:val="纯文本 字符"/>
    <w:autoRedefine/>
    <w:qFormat/>
    <w:uiPriority w:val="0"/>
    <w:rPr>
      <w:rFonts w:ascii="宋体" w:hAnsi="Courier New"/>
      <w:kern w:val="2"/>
      <w:sz w:val="21"/>
      <w:szCs w:val="21"/>
    </w:rPr>
  </w:style>
  <w:style w:type="paragraph" w:customStyle="1" w:styleId="183">
    <w:name w:val=" Char"/>
    <w:basedOn w:val="1"/>
    <w:autoRedefine/>
    <w:qFormat/>
    <w:uiPriority w:val="0"/>
    <w:rPr>
      <w:rFonts w:ascii="Calibri" w:hAnsi="Calibri"/>
      <w:szCs w:val="22"/>
    </w:rPr>
  </w:style>
  <w:style w:type="paragraph" w:customStyle="1" w:styleId="184">
    <w:name w:val="flNote"/>
    <w:basedOn w:val="1"/>
    <w:autoRedefine/>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5">
    <w:name w:val="Blockquote"/>
    <w:basedOn w:val="1"/>
    <w:autoRedefine/>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xl49"/>
    <w:basedOn w:val="1"/>
    <w:autoRedefine/>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9">
    <w:name w:val="正文_1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样式 标题 2 + Times New Roman 四号 非加粗 段前: 5 磅 段后: 0 磅 行距: 固定值 20..."/>
    <w:basedOn w:val="2"/>
    <w:autoRedefine/>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91">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bCs w:val="0"/>
      <w:sz w:val="24"/>
      <w:szCs w:val="20"/>
    </w:rPr>
  </w:style>
  <w:style w:type="paragraph" w:customStyle="1" w:styleId="192">
    <w:name w:val="Char"/>
    <w:basedOn w:val="1"/>
    <w:autoRedefine/>
    <w:qFormat/>
    <w:uiPriority w:val="0"/>
  </w:style>
  <w:style w:type="paragraph" w:customStyle="1" w:styleId="193">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Normal"/>
    <w:autoRedefine/>
    <w:qFormat/>
    <w:uiPriority w:val="0"/>
    <w:rPr>
      <w:rFonts w:ascii="Times New Roman" w:hAnsi="Times New Roman" w:eastAsia="Times New Roman" w:cs="Times New Roman"/>
      <w:sz w:val="24"/>
      <w:szCs w:val="24"/>
      <w:lang w:bidi="ar-SA"/>
    </w:rPr>
  </w:style>
  <w:style w:type="paragraph" w:customStyle="1" w:styleId="195">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7">
    <w:name w:val="List Paragraph"/>
    <w:basedOn w:val="1"/>
    <w:autoRedefine/>
    <w:qFormat/>
    <w:uiPriority w:val="0"/>
    <w:pPr>
      <w:ind w:firstLine="420" w:firstLineChars="200"/>
    </w:pPr>
    <w:rPr>
      <w:rFonts w:ascii="Calibri" w:hAnsi="Calibri"/>
      <w:szCs w:val="22"/>
    </w:rPr>
  </w:style>
  <w:style w:type="paragraph" w:customStyle="1" w:styleId="198">
    <w:name w:val="_Style 195"/>
    <w:autoRedefine/>
    <w:qFormat/>
    <w:uiPriority w:val="0"/>
    <w:rPr>
      <w:rFonts w:ascii="Times New Roman" w:hAnsi="Times New Roman" w:eastAsia="宋体" w:cs="Times New Roman"/>
      <w:kern w:val="2"/>
      <w:sz w:val="21"/>
      <w:szCs w:val="24"/>
      <w:lang w:val="en-US" w:eastAsia="zh-CN" w:bidi="ar-SA"/>
    </w:rPr>
  </w:style>
  <w:style w:type="paragraph" w:customStyle="1" w:styleId="199">
    <w:name w:val="Table Paragraph"/>
    <w:basedOn w:val="1"/>
    <w:autoRedefine/>
    <w:qFormat/>
    <w:uiPriority w:val="1"/>
    <w:rPr>
      <w:rFonts w:ascii="宋体" w:hAnsi="宋体" w:eastAsia="宋体" w:cs="宋体"/>
      <w:lang w:val="zh-CN" w:eastAsia="zh-CN" w:bidi="zh-CN"/>
    </w:rPr>
  </w:style>
  <w:style w:type="paragraph" w:customStyle="1" w:styleId="20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01">
    <w:name w:val="_Style 198"/>
    <w:basedOn w:val="3"/>
    <w:next w:val="1"/>
    <w:autoRedefine/>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2">
    <w:name w:val="first-child"/>
    <w:basedOn w:val="46"/>
    <w:autoRedefine/>
    <w:qFormat/>
    <w:uiPriority w:val="0"/>
  </w:style>
  <w:style w:type="character" w:customStyle="1" w:styleId="203">
    <w:name w:val="layui-layer-tabnow"/>
    <w:basedOn w:val="46"/>
    <w:autoRedefine/>
    <w:qFormat/>
    <w:uiPriority w:val="0"/>
    <w:rPr>
      <w:bdr w:val="single" w:color="CCCCCC" w:sz="6" w:space="0"/>
      <w:shd w:val="clear" w:color="auto" w:fill="FFFFFF"/>
    </w:rPr>
  </w:style>
  <w:style w:type="paragraph" w:customStyle="1" w:styleId="204">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05">
    <w:name w:val="_Style 2"/>
    <w:basedOn w:val="1"/>
    <w:autoRedefine/>
    <w:qFormat/>
    <w:uiPriority w:val="34"/>
    <w:pPr>
      <w:ind w:firstLine="420" w:firstLineChars="200"/>
    </w:pPr>
    <w:rPr>
      <w:rFonts w:ascii="Calibri" w:hAnsi="Calibri"/>
      <w:szCs w:val="22"/>
    </w:rPr>
  </w:style>
  <w:style w:type="character" w:customStyle="1" w:styleId="206">
    <w:name w:val="font41"/>
    <w:basedOn w:val="46"/>
    <w:autoRedefine/>
    <w:qFormat/>
    <w:uiPriority w:val="0"/>
    <w:rPr>
      <w:rFonts w:ascii="Arial" w:hAnsi="Arial" w:cs="Arial"/>
      <w:color w:val="000000"/>
      <w:sz w:val="24"/>
      <w:szCs w:val="24"/>
      <w:u w:val="none"/>
    </w:rPr>
  </w:style>
  <w:style w:type="character" w:customStyle="1" w:styleId="207">
    <w:name w:val="font51"/>
    <w:basedOn w:val="46"/>
    <w:autoRedefine/>
    <w:qFormat/>
    <w:uiPriority w:val="0"/>
    <w:rPr>
      <w:rFonts w:hint="eastAsia" w:ascii="宋体" w:hAnsi="宋体" w:eastAsia="宋体" w:cs="宋体"/>
      <w:color w:val="000000"/>
      <w:sz w:val="24"/>
      <w:szCs w:val="24"/>
      <w:u w:val="none"/>
    </w:rPr>
  </w:style>
  <w:style w:type="character" w:customStyle="1" w:styleId="208">
    <w:name w:val="font21"/>
    <w:basedOn w:val="46"/>
    <w:autoRedefine/>
    <w:qFormat/>
    <w:uiPriority w:val="0"/>
    <w:rPr>
      <w:rFonts w:ascii="Arial" w:hAnsi="Arial" w:cs="Arial"/>
      <w:color w:val="000000"/>
      <w:sz w:val="24"/>
      <w:szCs w:val="24"/>
      <w:u w:val="none"/>
    </w:rPr>
  </w:style>
  <w:style w:type="character" w:customStyle="1" w:styleId="209">
    <w:name w:val="font11"/>
    <w:basedOn w:val="46"/>
    <w:autoRedefine/>
    <w:qFormat/>
    <w:uiPriority w:val="0"/>
    <w:rPr>
      <w:rFonts w:hint="eastAsia" w:ascii="宋体" w:hAnsi="宋体" w:eastAsia="宋体" w:cs="宋体"/>
      <w:color w:val="000000"/>
      <w:sz w:val="24"/>
      <w:szCs w:val="24"/>
      <w:u w:val="none"/>
    </w:rPr>
  </w:style>
  <w:style w:type="paragraph" w:customStyle="1" w:styleId="210">
    <w:name w:val="Style1"/>
    <w:basedOn w:val="1"/>
    <w:autoRedefine/>
    <w:qFormat/>
    <w:uiPriority w:val="0"/>
    <w:pPr>
      <w:widowControl/>
      <w:tabs>
        <w:tab w:val="left" w:pos="-720"/>
      </w:tabs>
      <w:spacing w:after="120"/>
    </w:pPr>
    <w:rPr>
      <w:rFonts w:ascii="Times New Roman" w:hAnsi="Times New Roman" w:eastAsia="宋体" w:cs="Times New Roman"/>
      <w:spacing w:val="-3"/>
      <w:kern w:val="0"/>
      <w:sz w:val="24"/>
      <w:szCs w:val="20"/>
      <w:lang w:val="en-AU" w:eastAsia="en-AU"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24</Pages>
  <Words>5654</Words>
  <Characters>6097</Characters>
  <Lines>164</Lines>
  <Paragraphs>46</Paragraphs>
  <TotalTime>7</TotalTime>
  <ScaleCrop>false</ScaleCrop>
  <LinksUpToDate>false</LinksUpToDate>
  <CharactersWithSpaces>7464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阿胜</cp:lastModifiedBy>
  <cp:lastPrinted>2024-03-21T02:59:00Z</cp:lastPrinted>
  <dcterms:modified xsi:type="dcterms:W3CDTF">2024-03-21T06:45:07Z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750921EDA06C4271B8A138687153EA8D_13</vt:lpwstr>
  </property>
</Properties>
</file>