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heme="majorEastAsia" w:hAnsiTheme="majorEastAsia" w:eastAsiaTheme="majorEastAsia" w:cstheme="majorEastAsia"/>
          <w:b w:val="0"/>
          <w:bCs/>
          <w:color w:val="auto"/>
          <w:spacing w:val="37"/>
          <w:sz w:val="30"/>
          <w:szCs w:val="30"/>
          <w:lang w:val="en-US" w:eastAsia="zh-CN"/>
        </w:rPr>
      </w:pPr>
      <w:r>
        <w:rPr>
          <w:rFonts w:hint="eastAsia" w:asciiTheme="majorEastAsia" w:hAnsiTheme="majorEastAsia" w:eastAsiaTheme="majorEastAsia" w:cstheme="majorEastAsia"/>
          <w:b w:val="0"/>
          <w:bCs/>
          <w:color w:val="auto"/>
          <w:spacing w:val="37"/>
          <w:sz w:val="30"/>
          <w:szCs w:val="30"/>
          <w:lang w:eastAsia="zh-CN"/>
        </w:rPr>
        <w:t>安徽省宁国市城镇环境基础设施提升及配套工程EPC项目一标段-河沥商贸街A、B区混凝土采购</w:t>
      </w:r>
      <w:r>
        <w:rPr>
          <w:rFonts w:hint="eastAsia" w:asciiTheme="majorEastAsia" w:hAnsiTheme="majorEastAsia" w:eastAsiaTheme="majorEastAsia" w:cstheme="majorEastAsia"/>
          <w:b w:val="0"/>
          <w:bCs/>
          <w:color w:val="auto"/>
          <w:spacing w:val="37"/>
          <w:sz w:val="30"/>
          <w:szCs w:val="30"/>
          <w:lang w:val="en-US" w:eastAsia="zh-CN"/>
        </w:rPr>
        <w:t>(第二次)</w:t>
      </w:r>
    </w:p>
    <w:p>
      <w:pPr>
        <w:spacing w:line="360" w:lineRule="auto"/>
        <w:ind w:firstLine="2100" w:firstLineChars="700"/>
        <w:jc w:val="both"/>
        <w:rPr>
          <w:rFonts w:hint="default" w:asciiTheme="majorEastAsia" w:hAnsiTheme="majorEastAsia" w:eastAsiaTheme="majorEastAsia" w:cstheme="majorEastAsia"/>
          <w:b w:val="0"/>
          <w:bCs/>
          <w:color w:val="000000"/>
          <w:sz w:val="30"/>
          <w:szCs w:val="30"/>
          <w:lang w:val="en-US" w:eastAsia="zh-CN"/>
        </w:rPr>
      </w:pPr>
      <w:r>
        <w:rPr>
          <w:rFonts w:hint="eastAsia" w:asciiTheme="majorEastAsia" w:hAnsiTheme="majorEastAsia" w:eastAsiaTheme="majorEastAsia" w:cstheme="majorEastAsia"/>
          <w:b w:val="0"/>
          <w:bCs/>
          <w:color w:val="000000"/>
          <w:sz w:val="30"/>
          <w:szCs w:val="30"/>
          <w:lang w:val="en-US" w:eastAsia="zh-CN"/>
        </w:rPr>
        <w:t>项目编号：AHJT-2023-08-001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招</w:t>
      </w: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标</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2023年08月 1日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jc w:val="center"/>
        <w:rPr>
          <w:rFonts w:hint="eastAsia" w:ascii="Times New Roman" w:hAnsi="宋体" w:eastAsia="华文中宋" w:cs="宋体"/>
          <w:b w:val="0"/>
          <w:bCs/>
          <w:color w:val="auto"/>
          <w:spacing w:val="37"/>
          <w:sz w:val="32"/>
          <w:szCs w:val="32"/>
          <w:lang w:eastAsia="zh-CN"/>
        </w:rPr>
      </w:pPr>
      <w:bookmarkStart w:id="0" w:name="_Toc144974482"/>
      <w:bookmarkStart w:id="1" w:name="_Toc247085674"/>
      <w:bookmarkStart w:id="2" w:name="_Toc179632530"/>
      <w:bookmarkStart w:id="3" w:name="_Toc246996903"/>
      <w:bookmarkStart w:id="4" w:name="_Toc246996160"/>
      <w:bookmarkStart w:id="5" w:name="_Toc329851755"/>
      <w:bookmarkStart w:id="6" w:name="_Toc152042290"/>
      <w:bookmarkStart w:id="7" w:name="_Toc152045514"/>
      <w:r>
        <w:rPr>
          <w:rFonts w:hint="eastAsia" w:asciiTheme="majorEastAsia" w:hAnsiTheme="majorEastAsia" w:eastAsiaTheme="majorEastAsia" w:cstheme="majorEastAsia"/>
          <w:b w:val="0"/>
          <w:bCs/>
          <w:color w:val="auto"/>
          <w:spacing w:val="37"/>
          <w:sz w:val="28"/>
          <w:szCs w:val="28"/>
          <w:lang w:eastAsia="zh-CN"/>
        </w:rPr>
        <w:t>安徽省宁国市城镇环境基础设施提升及配套工程EPC项目一标段-河沥商贸街A、B区混凝土采购（第二次）</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项目概况与招标内容、规模: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1.1、项目名称：安徽省宁国市城镇环境基础设施提升及配套工程EPC项目一标段-河沥商贸街A、</w:t>
      </w:r>
    </w:p>
    <w:p>
      <w:pPr>
        <w:keepNext w:val="0"/>
        <w:keepLines w:val="0"/>
        <w:widowControl/>
        <w:suppressLineNumbers w:val="0"/>
        <w:jc w:val="left"/>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B区混凝土</w:t>
      </w:r>
      <w:r>
        <w:rPr>
          <w:rFonts w:hint="eastAsia" w:asciiTheme="majorEastAsia" w:hAnsiTheme="majorEastAsia" w:eastAsiaTheme="majorEastAsia" w:cstheme="majorEastAsia"/>
          <w:b w:val="0"/>
          <w:bCs/>
          <w:color w:val="auto"/>
          <w:spacing w:val="37"/>
          <w:sz w:val="24"/>
          <w:szCs w:val="24"/>
          <w:lang w:eastAsia="zh-CN"/>
        </w:rPr>
        <w:t>采购（第二次）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01</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b w:val="0"/>
          <w:bCs/>
          <w:color w:val="auto"/>
          <w:spacing w:val="37"/>
          <w:sz w:val="24"/>
          <w:szCs w:val="24"/>
          <w:lang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w:t>
      </w:r>
      <w:r>
        <w:rPr>
          <w:rFonts w:hint="eastAsia" w:ascii="宋体" w:hAnsi="宋体" w:eastAsia="宋体" w:cs="宋体"/>
          <w:i w:val="0"/>
          <w:iCs w:val="0"/>
          <w:caps w:val="0"/>
          <w:color w:val="333333"/>
          <w:spacing w:val="0"/>
          <w:sz w:val="24"/>
          <w:szCs w:val="24"/>
          <w:shd w:val="clear" w:fill="FFFFFF"/>
        </w:rPr>
        <w:t>预拌商品混凝土的采购，预拌商品混凝土生产、运输、装卸、汽车泵泵送、检测及在质保期内发生的任何缺陷的修复。</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w:t>
      </w:r>
      <w:r>
        <w:rPr>
          <w:rFonts w:hint="eastAsia" w:asciiTheme="minorEastAsia" w:hAnsiTheme="minorEastAsia" w:eastAsiaTheme="minorEastAsia" w:cstheme="minorEastAsia"/>
          <w:i w:val="0"/>
          <w:iCs w:val="0"/>
          <w:caps w:val="0"/>
          <w:color w:val="4E4E4E"/>
          <w:spacing w:val="0"/>
          <w:sz w:val="24"/>
          <w:szCs w:val="24"/>
          <w:shd w:val="clear" w:fill="FFFFFF"/>
        </w:rPr>
        <w:t>安徽省宁国市</w:t>
      </w:r>
      <w:r>
        <w:rPr>
          <w:rFonts w:hint="eastAsia" w:asciiTheme="minorEastAsia" w:hAnsiTheme="minorEastAsia" w:eastAsiaTheme="minorEastAsia" w:cstheme="minorEastAsia"/>
          <w:i w:val="0"/>
          <w:iCs w:val="0"/>
          <w:caps w:val="0"/>
          <w:color w:val="4E4E4E"/>
          <w:spacing w:val="0"/>
          <w:sz w:val="24"/>
          <w:szCs w:val="24"/>
          <w:shd w:val="clear" w:fill="FFFFFF"/>
          <w:lang w:eastAsia="zh-CN"/>
        </w:rPr>
        <w:t>河沥商贸街</w:t>
      </w:r>
      <w:r>
        <w:rPr>
          <w:rFonts w:hint="eastAsia" w:asciiTheme="minorEastAsia" w:hAnsiTheme="minorEastAsia" w:eastAsiaTheme="minorEastAsia" w:cstheme="minorEastAsia"/>
          <w:i w:val="0"/>
          <w:iCs w:val="0"/>
          <w:caps w:val="0"/>
          <w:color w:val="4E4E4E"/>
          <w:spacing w:val="0"/>
          <w:sz w:val="24"/>
          <w:szCs w:val="24"/>
          <w:shd w:val="clear" w:fill="FFFFFF"/>
          <w:lang w:val="en-US" w:eastAsia="zh-CN"/>
        </w:rPr>
        <w:t>A、B区</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、工程质量：合格</w:t>
      </w:r>
      <w:r>
        <w:rPr>
          <w:rFonts w:hint="eastAsia" w:ascii="宋体" w:hAnsi="宋体" w:cs="宋体"/>
          <w:sz w:val="24"/>
          <w:szCs w:val="24"/>
          <w:lang w:val="en-US" w:eastAsia="zh-CN"/>
        </w:rPr>
        <w:t>，</w:t>
      </w:r>
      <w:r>
        <w:rPr>
          <w:rFonts w:hint="eastAsia" w:ascii="宋体" w:hAnsi="宋体" w:eastAsia="宋体" w:cs="宋体"/>
          <w:i w:val="0"/>
          <w:iCs w:val="0"/>
          <w:caps w:val="0"/>
          <w:color w:val="333333"/>
          <w:spacing w:val="0"/>
          <w:sz w:val="24"/>
          <w:szCs w:val="24"/>
          <w:shd w:val="clear" w:fill="FFFFFF"/>
        </w:rPr>
        <w:t>投标人提供的产品质量必须符合国家（行业）有关标准以及施工图纸的具体要求；</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52045516"/>
      <w:bookmarkStart w:id="9" w:name="_Toc246996162"/>
      <w:bookmarkStart w:id="10" w:name="_Toc144974484"/>
      <w:bookmarkStart w:id="11" w:name="_Toc246996905"/>
      <w:bookmarkStart w:id="12" w:name="_Toc152042292"/>
      <w:bookmarkStart w:id="13" w:name="_Toc247085676"/>
      <w:bookmarkStart w:id="14" w:name="_Toc179632532"/>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caps w:val="0"/>
          <w:color w:val="333333"/>
          <w:spacing w:val="0"/>
          <w:sz w:val="24"/>
          <w:szCs w:val="24"/>
        </w:rPr>
      </w:pPr>
      <w:r>
        <w:rPr>
          <w:rFonts w:hint="eastAsia" w:asciiTheme="minorEastAsia" w:hAnsiTheme="minorEastAsia" w:eastAsiaTheme="minorEastAsia" w:cstheme="minorEastAsia"/>
          <w:b w:val="0"/>
          <w:bCs w:val="0"/>
          <w:sz w:val="24"/>
          <w:szCs w:val="24"/>
          <w:lang w:val="en-US" w:eastAsia="zh-CN"/>
        </w:rPr>
        <w:t>2.1.1、投标人须</w:t>
      </w:r>
      <w:r>
        <w:rPr>
          <w:rFonts w:hint="eastAsia" w:asciiTheme="minorEastAsia" w:hAnsiTheme="minorEastAsia" w:eastAsiaTheme="minorEastAsia" w:cstheme="minorEastAsia"/>
          <w:b w:val="0"/>
          <w:bCs w:val="0"/>
          <w:caps w:val="0"/>
          <w:color w:val="333333"/>
          <w:spacing w:val="0"/>
          <w:sz w:val="24"/>
          <w:szCs w:val="24"/>
        </w:rPr>
        <w:t>具有独立法人资格并取得预拌商品混凝土专业资质；</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val="0"/>
          <w:caps w:val="0"/>
          <w:color w:val="333333"/>
          <w:spacing w:val="0"/>
          <w:sz w:val="24"/>
          <w:szCs w:val="24"/>
        </w:rPr>
      </w:pPr>
      <w:r>
        <w:rPr>
          <w:rFonts w:hint="eastAsia" w:asciiTheme="minorEastAsia" w:hAnsiTheme="minorEastAsia" w:eastAsiaTheme="minorEastAsia" w:cstheme="minorEastAsia"/>
          <w:b w:val="0"/>
          <w:bCs w:val="0"/>
          <w:sz w:val="24"/>
          <w:szCs w:val="24"/>
          <w:lang w:val="en-US" w:eastAsia="zh-CN"/>
        </w:rPr>
        <w:t>2.1.2、</w:t>
      </w:r>
      <w:r>
        <w:rPr>
          <w:rFonts w:hint="eastAsia" w:asciiTheme="minorEastAsia" w:hAnsiTheme="minorEastAsia" w:eastAsiaTheme="minorEastAsia" w:cstheme="minorEastAsia"/>
          <w:b w:val="0"/>
          <w:bCs w:val="0"/>
          <w:caps w:val="0"/>
          <w:color w:val="333333"/>
          <w:spacing w:val="0"/>
          <w:sz w:val="24"/>
          <w:szCs w:val="24"/>
        </w:rPr>
        <w:t>提供的产品质量</w:t>
      </w:r>
      <w:r>
        <w:rPr>
          <w:rFonts w:hint="eastAsia" w:asciiTheme="minorEastAsia" w:hAnsiTheme="minorEastAsia" w:eastAsiaTheme="minorEastAsia" w:cstheme="minorEastAsia"/>
          <w:b w:val="0"/>
          <w:bCs w:val="0"/>
          <w:caps w:val="0"/>
          <w:color w:val="333333"/>
          <w:spacing w:val="0"/>
          <w:sz w:val="24"/>
          <w:szCs w:val="24"/>
          <w:lang w:eastAsia="zh-CN"/>
        </w:rPr>
        <w:t>合格</w:t>
      </w:r>
      <w:r>
        <w:rPr>
          <w:rFonts w:hint="eastAsia" w:asciiTheme="minorEastAsia" w:hAnsiTheme="minorEastAsia" w:eastAsiaTheme="minorEastAsia" w:cstheme="minorEastAsia"/>
          <w:b w:val="0"/>
          <w:bCs w:val="0"/>
          <w:caps w:val="0"/>
          <w:color w:val="333333"/>
          <w:spacing w:val="0"/>
          <w:sz w:val="24"/>
          <w:szCs w:val="24"/>
        </w:rPr>
        <w:t>、性能可靠、</w:t>
      </w:r>
      <w:r>
        <w:rPr>
          <w:rFonts w:hint="eastAsia" w:asciiTheme="minorEastAsia" w:hAnsiTheme="minorEastAsia" w:eastAsiaTheme="minorEastAsia" w:cstheme="minorEastAsia"/>
          <w:b w:val="0"/>
          <w:bCs w:val="0"/>
          <w:caps w:val="0"/>
          <w:color w:val="333333"/>
          <w:spacing w:val="0"/>
          <w:sz w:val="24"/>
          <w:szCs w:val="24"/>
          <w:lang w:val="en-US" w:eastAsia="zh-CN"/>
        </w:rPr>
        <w:t>服务到位</w:t>
      </w:r>
      <w:r>
        <w:rPr>
          <w:rFonts w:hint="eastAsia" w:asciiTheme="minorEastAsia" w:hAnsiTheme="minorEastAsia" w:eastAsiaTheme="minorEastAsia" w:cstheme="minorEastAsia"/>
          <w:b w:val="0"/>
          <w:bCs w:val="0"/>
          <w:caps w:val="0"/>
          <w:color w:val="333333"/>
          <w:spacing w:val="0"/>
          <w:sz w:val="24"/>
          <w:szCs w:val="24"/>
        </w:rPr>
        <w:t>；</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aps w:val="0"/>
          <w:color w:val="333333"/>
          <w:spacing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caps w:val="0"/>
          <w:color w:val="333333"/>
          <w:spacing w:val="0"/>
          <w:sz w:val="24"/>
          <w:szCs w:val="24"/>
          <w:lang w:val="en-US" w:eastAsia="zh-CN"/>
        </w:rPr>
        <w:t>1.3、</w:t>
      </w:r>
      <w:r>
        <w:rPr>
          <w:rFonts w:hint="eastAsia" w:ascii="宋体" w:hAnsi="宋体" w:eastAsia="宋体" w:cs="宋体"/>
          <w:b w:val="0"/>
          <w:bCs w:val="0"/>
          <w:caps w:val="0"/>
          <w:color w:val="333333"/>
          <w:spacing w:val="0"/>
          <w:sz w:val="24"/>
          <w:szCs w:val="24"/>
        </w:rPr>
        <w:t>具有履行合同的能力；</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aps w:val="0"/>
          <w:color w:val="333333"/>
          <w:spacing w:val="0"/>
          <w:sz w:val="24"/>
          <w:szCs w:val="24"/>
          <w:shd w:val="clear" w:fill="FFFFFF"/>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caps w:val="0"/>
          <w:color w:val="333333"/>
          <w:spacing w:val="0"/>
          <w:sz w:val="24"/>
          <w:szCs w:val="24"/>
          <w:shd w:val="clear" w:fill="FFFFFF"/>
          <w:lang w:val="en-US" w:eastAsia="zh-CN"/>
        </w:rPr>
        <w:t>1.4、</w:t>
      </w:r>
      <w:r>
        <w:rPr>
          <w:rFonts w:hint="eastAsia" w:cs="宋体"/>
          <w:b w:val="0"/>
          <w:bCs w:val="0"/>
          <w:caps w:val="0"/>
          <w:color w:val="333333"/>
          <w:spacing w:val="0"/>
          <w:sz w:val="24"/>
          <w:szCs w:val="24"/>
          <w:shd w:val="clear" w:fill="FFFFFF"/>
          <w:lang w:val="en-US" w:eastAsia="zh-CN"/>
        </w:rPr>
        <w:t>投标</w:t>
      </w:r>
      <w:r>
        <w:rPr>
          <w:rFonts w:hint="eastAsia" w:ascii="宋体" w:hAnsi="宋体" w:eastAsia="宋体" w:cs="宋体"/>
          <w:b w:val="0"/>
          <w:bCs w:val="0"/>
          <w:caps w:val="0"/>
          <w:color w:val="333333"/>
          <w:spacing w:val="0"/>
          <w:sz w:val="24"/>
          <w:szCs w:val="24"/>
          <w:shd w:val="clear" w:fill="FFFFFF"/>
        </w:rPr>
        <w:t>企业</w:t>
      </w:r>
      <w:r>
        <w:rPr>
          <w:rFonts w:hint="eastAsia" w:cs="宋体"/>
          <w:b w:val="0"/>
          <w:bCs w:val="0"/>
          <w:caps w:val="0"/>
          <w:color w:val="333333"/>
          <w:spacing w:val="0"/>
          <w:sz w:val="24"/>
          <w:szCs w:val="24"/>
          <w:shd w:val="clear" w:fill="FFFFFF"/>
          <w:lang w:eastAsia="zh-CN"/>
        </w:rPr>
        <w:t>为宁国市内</w:t>
      </w:r>
      <w:r>
        <w:rPr>
          <w:rFonts w:hint="eastAsia" w:ascii="宋体" w:hAnsi="宋体" w:eastAsia="宋体" w:cs="宋体"/>
          <w:b w:val="0"/>
          <w:bCs w:val="0"/>
          <w:caps w:val="0"/>
          <w:color w:val="333333"/>
          <w:spacing w:val="0"/>
          <w:sz w:val="24"/>
          <w:szCs w:val="24"/>
        </w:rPr>
        <w:t>取得预拌商品混凝土专业资质</w:t>
      </w:r>
      <w:r>
        <w:rPr>
          <w:rFonts w:hint="eastAsia" w:cs="宋体"/>
          <w:b w:val="0"/>
          <w:bCs w:val="0"/>
          <w:caps w:val="0"/>
          <w:color w:val="333333"/>
          <w:spacing w:val="0"/>
          <w:sz w:val="24"/>
          <w:szCs w:val="24"/>
          <w:lang w:eastAsia="zh-CN"/>
        </w:rPr>
        <w:t>企业</w:t>
      </w:r>
      <w:r>
        <w:rPr>
          <w:rFonts w:hint="eastAsia" w:ascii="宋体" w:hAnsi="宋体" w:eastAsia="宋体" w:cs="宋体"/>
          <w:b w:val="0"/>
          <w:bCs w:val="0"/>
          <w:caps w:val="0"/>
          <w:color w:val="333333"/>
          <w:spacing w:val="0"/>
          <w:sz w:val="24"/>
          <w:szCs w:val="24"/>
          <w:shd w:val="clear" w:fill="FFFFFF"/>
        </w:rPr>
        <w:t>。</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i w:val="0"/>
          <w:iCs w:val="0"/>
          <w:caps w:val="0"/>
          <w:color w:val="333333"/>
          <w:spacing w:val="0"/>
          <w:sz w:val="24"/>
          <w:szCs w:val="24"/>
          <w:shd w:val="clear" w:fill="FFFFFF"/>
        </w:rPr>
      </w:pPr>
      <w:r>
        <w:rPr>
          <w:rFonts w:hint="eastAsia" w:asciiTheme="minorEastAsia" w:hAnsiTheme="minorEastAsia" w:eastAsiaTheme="minorEastAsia" w:cstheme="minorEastAsia"/>
          <w:b w:val="0"/>
          <w:bCs w:val="0"/>
          <w:caps w:val="0"/>
          <w:color w:val="333333"/>
          <w:spacing w:val="0"/>
          <w:sz w:val="24"/>
          <w:szCs w:val="24"/>
          <w:shd w:val="clear" w:fill="FFFFFF"/>
          <w:lang w:val="en-US" w:eastAsia="zh-CN"/>
        </w:rPr>
        <w:t>2.1.5、</w:t>
      </w:r>
      <w:r>
        <w:rPr>
          <w:rFonts w:hint="eastAsia" w:ascii="宋体" w:hAnsi="宋体" w:eastAsia="宋体" w:cs="宋体"/>
          <w:b w:val="0"/>
          <w:bCs w:val="0"/>
          <w:i w:val="0"/>
          <w:iCs w:val="0"/>
          <w:caps w:val="0"/>
          <w:color w:val="333333"/>
          <w:spacing w:val="0"/>
          <w:sz w:val="24"/>
          <w:szCs w:val="24"/>
          <w:shd w:val="clear" w:fill="FFFFFF"/>
        </w:rPr>
        <w:t>供货要求：配合整体工程进度，具体进场时间由招标人另行通知。</w:t>
      </w:r>
    </w:p>
    <w:p>
      <w:pPr>
        <w:rPr>
          <w:rFonts w:hint="default" w:eastAsia="宋体"/>
          <w:lang w:val="en-US" w:eastAsia="zh-CN"/>
        </w:rPr>
      </w:pPr>
      <w:r>
        <w:rPr>
          <w:rFonts w:hint="eastAsia" w:ascii="宋体" w:hAnsi="宋体" w:eastAsia="宋体" w:cs="宋体"/>
          <w:b w:val="0"/>
          <w:bCs w:val="0"/>
          <w:i w:val="0"/>
          <w:iCs w:val="0"/>
          <w:caps w:val="0"/>
          <w:color w:val="333333"/>
          <w:spacing w:val="0"/>
          <w:sz w:val="24"/>
          <w:szCs w:val="24"/>
          <w:shd w:val="clear" w:fill="FFFFFF"/>
          <w:lang w:val="en-US" w:eastAsia="zh-CN"/>
        </w:rPr>
        <w:t>2.1.6、</w:t>
      </w:r>
      <w:r>
        <w:rPr>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特别提示：本次招标系第二次招标，第一次已经参与投标的企业，如第二次仍然参与投标，无需再缴纳投标保证金，第一次的投标保证金视为第二次的投标保证金。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8</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 xml:space="preserve"> 3</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9点00分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152042301"/>
      <w:bookmarkEnd w:id="15"/>
      <w:bookmarkStart w:id="16" w:name="_Toc247085686"/>
      <w:bookmarkEnd w:id="16"/>
      <w:bookmarkStart w:id="17" w:name="_Toc296602416"/>
      <w:bookmarkEnd w:id="17"/>
      <w:bookmarkStart w:id="18" w:name="_Toc246996915"/>
      <w:bookmarkEnd w:id="18"/>
      <w:bookmarkStart w:id="19" w:name="_Toc246996172"/>
      <w:bookmarkEnd w:id="19"/>
      <w:bookmarkStart w:id="20" w:name="_Toc152045525"/>
      <w:bookmarkEnd w:id="20"/>
      <w:bookmarkStart w:id="21" w:name="_Toc179632542"/>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rPr>
          <w:rFonts w:hint="default"/>
          <w:lang w:val="en-US" w:eastAsia="zh-CN"/>
        </w:rPr>
      </w:pPr>
    </w:p>
    <w:p>
      <w:pPr>
        <w:pStyle w:val="2"/>
        <w:rPr>
          <w:rFonts w:hint="eastAsia"/>
          <w:lang w:val="en-US" w:eastAsia="zh-CN"/>
        </w:rPr>
      </w:pPr>
    </w:p>
    <w:p>
      <w:pPr>
        <w:pStyle w:val="2"/>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548" w:type="dxa"/>
        <w:tblInd w:w="-72" w:type="dxa"/>
        <w:tblLayout w:type="fixed"/>
        <w:tblCellMar>
          <w:top w:w="0" w:type="dxa"/>
          <w:left w:w="108" w:type="dxa"/>
          <w:bottom w:w="0" w:type="dxa"/>
          <w:right w:w="108" w:type="dxa"/>
        </w:tblCellMar>
      </w:tblPr>
      <w:tblGrid>
        <w:gridCol w:w="573"/>
        <w:gridCol w:w="2915"/>
        <w:gridCol w:w="1512"/>
        <w:gridCol w:w="5548"/>
      </w:tblGrid>
      <w:tr>
        <w:tblPrEx>
          <w:tblCellMar>
            <w:top w:w="0" w:type="dxa"/>
            <w:left w:w="108" w:type="dxa"/>
            <w:bottom w:w="0" w:type="dxa"/>
            <w:right w:w="108" w:type="dxa"/>
          </w:tblCellMar>
        </w:tblPrEx>
        <w:trPr>
          <w:trHeight w:val="137" w:hRule="atLeast"/>
        </w:trPr>
        <w:tc>
          <w:tcPr>
            <w:tcW w:w="573" w:type="dxa"/>
            <w:tcBorders>
              <w:top w:val="single" w:color="E9AD1D" w:sz="4" w:space="0"/>
              <w:left w:val="single" w:color="FFFFFF" w:sz="4" w:space="0"/>
              <w:bottom w:val="single" w:color="E9AD1D"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序号</w:t>
            </w:r>
          </w:p>
        </w:tc>
        <w:tc>
          <w:tcPr>
            <w:tcW w:w="4427" w:type="dxa"/>
            <w:gridSpan w:val="2"/>
            <w:tcBorders>
              <w:top w:val="single" w:color="E9AD1D" w:sz="4" w:space="0"/>
              <w:left w:val="single" w:color="FBF1D7" w:sz="4" w:space="0"/>
              <w:bottom w:val="single" w:color="E9AD1D" w:sz="4" w:space="0"/>
              <w:right w:val="single" w:color="FFFFFF" w:sz="4" w:space="0"/>
            </w:tcBorders>
            <w:shd w:val="clear" w:color="auto" w:fill="FFFFFF"/>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条  款  名  称</w:t>
            </w:r>
          </w:p>
        </w:tc>
        <w:tc>
          <w:tcPr>
            <w:tcW w:w="5548" w:type="dxa"/>
            <w:tcBorders>
              <w:top w:val="single" w:color="E9AD1D" w:sz="4" w:space="0"/>
              <w:left w:val="single" w:color="FFFFFF" w:sz="4" w:space="0"/>
              <w:bottom w:val="single" w:color="E9AD1D" w:sz="4" w:space="0"/>
              <w:right w:val="single" w:color="FBF1D7" w:sz="4" w:space="0"/>
            </w:tcBorders>
            <w:shd w:val="clear" w:color="auto" w:fill="FFFFFF"/>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编  列  内  容</w:t>
            </w:r>
          </w:p>
        </w:tc>
      </w:tr>
      <w:tr>
        <w:tblPrEx>
          <w:tblCellMar>
            <w:top w:w="0" w:type="dxa"/>
            <w:left w:w="108" w:type="dxa"/>
            <w:bottom w:w="0" w:type="dxa"/>
            <w:right w:w="108" w:type="dxa"/>
          </w:tblCellMar>
        </w:tblPrEx>
        <w:trPr>
          <w:trHeight w:val="137" w:hRule="atLeast"/>
        </w:trPr>
        <w:tc>
          <w:tcPr>
            <w:tcW w:w="573" w:type="dxa"/>
            <w:tcBorders>
              <w:top w:val="single" w:color="E9AD1D"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w:t>
            </w:r>
          </w:p>
        </w:tc>
        <w:tc>
          <w:tcPr>
            <w:tcW w:w="4427" w:type="dxa"/>
            <w:gridSpan w:val="2"/>
            <w:tcBorders>
              <w:top w:val="single" w:color="E9AD1D"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踏勘现场</w:t>
            </w:r>
          </w:p>
        </w:tc>
        <w:tc>
          <w:tcPr>
            <w:tcW w:w="5548" w:type="dxa"/>
            <w:tcBorders>
              <w:top w:val="single" w:color="E9AD1D"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不组织</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□组织，踏勘时间：</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踏勘集中地点：</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投标预备会</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不召开</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□召开，召开时间：</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召开地点：</w:t>
            </w:r>
          </w:p>
        </w:tc>
      </w:tr>
      <w:tr>
        <w:tblPrEx>
          <w:tblCellMar>
            <w:top w:w="0" w:type="dxa"/>
            <w:left w:w="108" w:type="dxa"/>
            <w:bottom w:w="0" w:type="dxa"/>
            <w:right w:w="108" w:type="dxa"/>
          </w:tblCellMar>
        </w:tblPrEx>
        <w:trPr>
          <w:trHeight w:val="65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3</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偏离</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不允许</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□允许</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4</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构成招标文件的其他</w:t>
            </w:r>
            <w:r>
              <w:rPr>
                <w:rFonts w:hint="eastAsia" w:ascii="宋体" w:hAnsi="宋体" w:eastAsia="宋体" w:cs="宋体"/>
                <w:color w:val="000000"/>
                <w:sz w:val="23"/>
                <w:szCs w:val="23"/>
                <w:lang w:eastAsia="zh-CN"/>
              </w:rPr>
              <w:t>材料</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招标补遗及答疑</w:t>
            </w:r>
          </w:p>
        </w:tc>
      </w:tr>
      <w:tr>
        <w:tblPrEx>
          <w:tblCellMar>
            <w:top w:w="0" w:type="dxa"/>
            <w:left w:w="108" w:type="dxa"/>
            <w:bottom w:w="0" w:type="dxa"/>
            <w:right w:w="108" w:type="dxa"/>
          </w:tblCellMar>
        </w:tblPrEx>
        <w:trPr>
          <w:trHeight w:val="35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5</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投标截止时间</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8</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 xml:space="preserve"> 3</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9</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6</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构成投标文件的其他</w:t>
            </w:r>
            <w:r>
              <w:rPr>
                <w:rFonts w:hint="eastAsia" w:ascii="宋体" w:hAnsi="宋体" w:eastAsia="宋体" w:cs="宋体"/>
                <w:color w:val="000000"/>
                <w:sz w:val="23"/>
                <w:szCs w:val="23"/>
                <w:lang w:eastAsia="zh-CN"/>
              </w:rPr>
              <w:t>材料</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投标人认为需提供的其他</w:t>
            </w:r>
            <w:r>
              <w:rPr>
                <w:rFonts w:hint="eastAsia" w:ascii="宋体" w:hAnsi="宋体" w:eastAsia="宋体" w:cs="宋体"/>
                <w:color w:val="000000"/>
                <w:sz w:val="23"/>
                <w:szCs w:val="23"/>
                <w:lang w:eastAsia="zh-CN"/>
              </w:rPr>
              <w:t>材料</w:t>
            </w:r>
          </w:p>
        </w:tc>
      </w:tr>
      <w:tr>
        <w:tblPrEx>
          <w:tblCellMar>
            <w:top w:w="0" w:type="dxa"/>
            <w:left w:w="108" w:type="dxa"/>
            <w:bottom w:w="0" w:type="dxa"/>
            <w:right w:w="108" w:type="dxa"/>
          </w:tblCellMar>
        </w:tblPrEx>
        <w:trPr>
          <w:trHeight w:val="117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7</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2" w:firstLineChars="200"/>
              <w:jc w:val="center"/>
              <w:rPr>
                <w:rFonts w:hint="eastAsia" w:ascii="宋体" w:hAnsi="宋体" w:eastAsia="宋体" w:cs="宋体"/>
                <w:b/>
                <w:color w:val="000000"/>
                <w:sz w:val="23"/>
                <w:szCs w:val="23"/>
                <w:u w:val="none"/>
              </w:rPr>
            </w:pPr>
            <w:r>
              <w:rPr>
                <w:rFonts w:hint="eastAsia" w:ascii="宋体" w:hAnsi="宋体" w:eastAsia="宋体" w:cs="宋体"/>
                <w:b/>
                <w:color w:val="000000"/>
                <w:sz w:val="23"/>
                <w:szCs w:val="23"/>
                <w:u w:val="none"/>
              </w:rPr>
              <w:t>控制价</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3"/>
                <w:szCs w:val="23"/>
                <w:u w:val="none"/>
                <w:lang w:val="en-US" w:eastAsia="zh-CN"/>
              </w:rPr>
            </w:pPr>
            <w:r>
              <w:rPr>
                <w:rFonts w:hint="eastAsia" w:ascii="宋体" w:hAnsi="宋体" w:cs="宋体"/>
                <w:color w:val="000000"/>
                <w:sz w:val="23"/>
                <w:szCs w:val="23"/>
                <w:u w:val="none"/>
                <w:lang w:val="en-US" w:eastAsia="zh-CN"/>
              </w:rPr>
              <w:t xml:space="preserve"> </w:t>
            </w:r>
            <w:r>
              <w:rPr>
                <w:rFonts w:hint="eastAsia" w:ascii="宋体" w:hAnsi="宋体" w:cs="宋体"/>
                <w:color w:val="000000"/>
                <w:sz w:val="22"/>
                <w:szCs w:val="22"/>
                <w:u w:val="none"/>
                <w:lang w:val="en-US" w:eastAsia="zh-CN"/>
              </w:rPr>
              <w:t>暂估价300万(以实际供应量为准)、</w:t>
            </w:r>
            <w:r>
              <w:rPr>
                <w:rFonts w:hint="eastAsia"/>
                <w:sz w:val="22"/>
                <w:szCs w:val="22"/>
                <w:lang w:val="en-US" w:eastAsia="zh-CN"/>
              </w:rPr>
              <w:t>供应商自行考虑报价，一经报价，将按报价单价作为基数涨跌</w:t>
            </w:r>
            <w:r>
              <w:rPr>
                <w:rFonts w:hint="eastAsia" w:ascii="宋体" w:hAnsi="宋体" w:cs="宋体"/>
                <w:color w:val="000000"/>
                <w:sz w:val="22"/>
                <w:szCs w:val="22"/>
                <w:u w:val="none"/>
                <w:lang w:val="en-US" w:eastAsia="zh-CN"/>
              </w:rPr>
              <w:t xml:space="preserve"> </w:t>
            </w:r>
            <w:r>
              <w:rPr>
                <w:rFonts w:hint="eastAsia" w:ascii="宋体" w:hAnsi="宋体" w:cs="宋体"/>
                <w:sz w:val="22"/>
                <w:szCs w:val="22"/>
                <w:u w:val="none"/>
                <w:lang w:val="en-US" w:eastAsia="zh-CN"/>
              </w:rPr>
              <w:t>（含13个点增值税），</w:t>
            </w:r>
            <w:r>
              <w:rPr>
                <w:rFonts w:hint="eastAsia" w:ascii="宋体" w:hAnsi="宋体" w:cs="宋体"/>
                <w:sz w:val="22"/>
                <w:szCs w:val="22"/>
                <w:lang w:val="en-US" w:eastAsia="zh-CN"/>
              </w:rPr>
              <w:t>详见后附控制价清单，且投标单价不得高于控制价单价，否则做废标处理</w:t>
            </w:r>
            <w:r>
              <w:rPr>
                <w:rFonts w:hint="eastAsia" w:asciiTheme="minorEastAsia" w:hAnsiTheme="minorEastAsia" w:eastAsiaTheme="minorEastAsia" w:cstheme="minorEastAsia"/>
                <w:sz w:val="24"/>
                <w:szCs w:val="24"/>
                <w:lang w:val="en-US" w:eastAsia="zh-CN"/>
              </w:rPr>
              <w:t>。</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8</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投标有效期</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1</w:t>
            </w:r>
            <w:r>
              <w:rPr>
                <w:rFonts w:hint="eastAsia" w:ascii="宋体" w:hAnsi="宋体" w:eastAsia="宋体" w:cs="宋体"/>
                <w:color w:val="000000"/>
                <w:sz w:val="23"/>
                <w:szCs w:val="23"/>
              </w:rPr>
              <w:t>0天</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9</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近年财务状况的年份要求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269"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10</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近年完成的类似项目的年份要求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bookmarkStart w:id="38" w:name="_GoBack"/>
            <w:bookmarkEnd w:id="38"/>
          </w:p>
        </w:tc>
      </w:tr>
      <w:tr>
        <w:tblPrEx>
          <w:tblCellMar>
            <w:top w:w="0" w:type="dxa"/>
            <w:left w:w="108" w:type="dxa"/>
            <w:bottom w:w="0" w:type="dxa"/>
            <w:right w:w="108" w:type="dxa"/>
          </w:tblCellMar>
        </w:tblPrEx>
        <w:trPr>
          <w:trHeight w:val="81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11</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签字要求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left"/>
              <w:rPr>
                <w:rFonts w:hint="eastAsia" w:ascii="宋体" w:hAnsi="宋体" w:eastAsia="宋体" w:cs="宋体"/>
                <w:color w:val="000000"/>
                <w:sz w:val="23"/>
                <w:szCs w:val="23"/>
              </w:rPr>
            </w:pPr>
            <w:r>
              <w:rPr>
                <w:rFonts w:hint="eastAsia" w:ascii="宋体" w:hAnsi="宋体" w:eastAsia="宋体" w:cs="宋体"/>
                <w:color w:val="000000"/>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12</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投标文件份数</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13</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投标文件的装订、密封和标记</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投标文件要求胶装不得活页装订，</w:t>
            </w:r>
            <w:r>
              <w:rPr>
                <w:rFonts w:hint="eastAsia" w:ascii="宋体" w:hAnsi="宋体" w:eastAsia="宋体" w:cs="宋体"/>
                <w:color w:val="000000"/>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14</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施工组织设计</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15</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封套上应载明的信息</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both"/>
              <w:rPr>
                <w:rFonts w:hint="eastAsia" w:ascii="宋体" w:hAnsi="宋体" w:eastAsia="宋体" w:cs="宋体"/>
                <w:color w:val="000000"/>
                <w:sz w:val="23"/>
                <w:szCs w:val="23"/>
              </w:rPr>
            </w:pPr>
            <w:r>
              <w:rPr>
                <w:rFonts w:hint="eastAsia" w:ascii="宋体" w:hAnsi="宋体" w:eastAsia="宋体" w:cs="宋体"/>
                <w:color w:val="000000"/>
                <w:sz w:val="23"/>
                <w:szCs w:val="23"/>
              </w:rPr>
              <w:t>投标人名称：</w:t>
            </w:r>
          </w:p>
          <w:p>
            <w:pPr>
              <w:spacing w:line="400" w:lineRule="exact"/>
              <w:jc w:val="both"/>
              <w:rPr>
                <w:rFonts w:hint="eastAsia" w:ascii="宋体" w:hAnsi="宋体" w:eastAsia="宋体" w:cs="宋体"/>
                <w:color w:val="000000"/>
                <w:sz w:val="23"/>
                <w:szCs w:val="23"/>
                <w:u w:val="single"/>
              </w:rPr>
            </w:pPr>
            <w:r>
              <w:rPr>
                <w:rFonts w:hint="eastAsia" w:ascii="宋体" w:hAnsi="宋体" w:eastAsia="宋体" w:cs="宋体"/>
                <w:color w:val="000000"/>
                <w:sz w:val="23"/>
                <w:szCs w:val="23"/>
              </w:rPr>
              <w:t>招标人名称：</w:t>
            </w:r>
            <w:r>
              <w:rPr>
                <w:rFonts w:hint="eastAsia" w:ascii="宋体" w:hAnsi="宋体" w:eastAsia="宋体" w:cs="宋体"/>
                <w:color w:val="000000"/>
                <w:sz w:val="23"/>
                <w:szCs w:val="23"/>
                <w:u w:val="single"/>
              </w:rPr>
              <w:t>（项目名称）</w:t>
            </w:r>
            <w:r>
              <w:rPr>
                <w:rFonts w:hint="eastAsia" w:ascii="宋体" w:hAnsi="宋体" w:eastAsia="宋体" w:cs="宋体"/>
                <w:color w:val="000000"/>
                <w:sz w:val="23"/>
                <w:szCs w:val="23"/>
              </w:rPr>
              <w:t>投标文件</w:t>
            </w:r>
          </w:p>
        </w:tc>
      </w:tr>
      <w:tr>
        <w:tblPrEx>
          <w:tblCellMar>
            <w:top w:w="0" w:type="dxa"/>
            <w:left w:w="108" w:type="dxa"/>
            <w:bottom w:w="0" w:type="dxa"/>
            <w:right w:w="108" w:type="dxa"/>
          </w:tblCellMar>
        </w:tblPrEx>
        <w:trPr>
          <w:trHeight w:val="90"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16</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递交投标文件地点</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68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17</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是否退还投标文件</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both"/>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否</w:t>
            </w:r>
            <w:r>
              <w:rPr>
                <w:rFonts w:hint="eastAsia" w:ascii="宋体" w:hAnsi="宋体" w:cs="宋体"/>
                <w:color w:val="000000"/>
                <w:sz w:val="23"/>
                <w:szCs w:val="23"/>
                <w:lang w:val="en-US" w:eastAsia="zh-CN"/>
              </w:rPr>
              <w:t xml:space="preserve">      </w:t>
            </w:r>
            <w:r>
              <w:rPr>
                <w:rFonts w:hint="eastAsia" w:ascii="宋体" w:hAnsi="宋体" w:eastAsia="宋体" w:cs="宋体"/>
                <w:color w:val="000000"/>
                <w:sz w:val="23"/>
                <w:szCs w:val="23"/>
              </w:rPr>
              <w:t>□是</w:t>
            </w:r>
          </w:p>
        </w:tc>
      </w:tr>
      <w:tr>
        <w:tblPrEx>
          <w:tblCellMar>
            <w:top w:w="0" w:type="dxa"/>
            <w:left w:w="108" w:type="dxa"/>
            <w:bottom w:w="0" w:type="dxa"/>
            <w:right w:w="108" w:type="dxa"/>
          </w:tblCellMar>
        </w:tblPrEx>
        <w:trPr>
          <w:trHeight w:val="83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18</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开标时间和地点</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ind w:firstLine="1150" w:firstLineChars="500"/>
              <w:jc w:val="both"/>
              <w:rPr>
                <w:rFonts w:hint="eastAsia" w:ascii="宋体" w:hAnsi="宋体" w:eastAsia="宋体" w:cs="宋体"/>
                <w:color w:val="000000"/>
                <w:sz w:val="23"/>
                <w:szCs w:val="23"/>
              </w:rPr>
            </w:pPr>
            <w:r>
              <w:rPr>
                <w:rFonts w:hint="eastAsia" w:ascii="宋体" w:hAnsi="宋体" w:eastAsia="宋体" w:cs="宋体"/>
                <w:color w:val="000000"/>
                <w:sz w:val="23"/>
                <w:szCs w:val="23"/>
              </w:rPr>
              <w:t>开标时间：同投标截止时间</w:t>
            </w:r>
          </w:p>
          <w:p>
            <w:pPr>
              <w:spacing w:line="400" w:lineRule="exact"/>
              <w:ind w:firstLine="1150" w:firstLineChars="500"/>
              <w:jc w:val="both"/>
              <w:rPr>
                <w:rFonts w:hint="eastAsia" w:ascii="宋体" w:hAnsi="宋体" w:eastAsia="宋体" w:cs="宋体"/>
                <w:color w:val="000000"/>
                <w:sz w:val="23"/>
                <w:szCs w:val="23"/>
              </w:rPr>
            </w:pPr>
            <w:r>
              <w:rPr>
                <w:rFonts w:hint="eastAsia" w:ascii="宋体" w:hAnsi="宋体" w:eastAsia="宋体" w:cs="宋体"/>
                <w:color w:val="000000"/>
                <w:sz w:val="23"/>
                <w:szCs w:val="23"/>
              </w:rPr>
              <w:t>开标地点：同递交投标文件地点</w:t>
            </w:r>
          </w:p>
        </w:tc>
      </w:tr>
      <w:tr>
        <w:tblPrEx>
          <w:tblCellMar>
            <w:top w:w="0" w:type="dxa"/>
            <w:left w:w="108" w:type="dxa"/>
            <w:bottom w:w="0" w:type="dxa"/>
            <w:right w:w="108" w:type="dxa"/>
          </w:tblCellMar>
        </w:tblPrEx>
        <w:trPr>
          <w:trHeight w:val="65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19</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开标方式</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公开开标</w:t>
            </w:r>
          </w:p>
        </w:tc>
      </w:tr>
      <w:tr>
        <w:tblPrEx>
          <w:tblCellMar>
            <w:top w:w="0" w:type="dxa"/>
            <w:left w:w="108" w:type="dxa"/>
            <w:bottom w:w="0" w:type="dxa"/>
            <w:right w:w="108" w:type="dxa"/>
          </w:tblCellMar>
        </w:tblPrEx>
        <w:trPr>
          <w:trHeight w:val="63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20</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评标办法</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综合评标法</w:t>
            </w:r>
          </w:p>
        </w:tc>
      </w:tr>
      <w:tr>
        <w:tblPrEx>
          <w:tblCellMar>
            <w:top w:w="0" w:type="dxa"/>
            <w:left w:w="108" w:type="dxa"/>
            <w:bottom w:w="0" w:type="dxa"/>
            <w:right w:w="108" w:type="dxa"/>
          </w:tblCellMar>
        </w:tblPrEx>
        <w:trPr>
          <w:trHeight w:val="78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22</w:t>
            </w:r>
          </w:p>
        </w:tc>
        <w:tc>
          <w:tcPr>
            <w:tcW w:w="4427"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投标</w:t>
            </w:r>
            <w:r>
              <w:rPr>
                <w:rFonts w:hint="eastAsia" w:ascii="宋体" w:hAnsi="宋体" w:eastAsia="宋体" w:cs="宋体"/>
                <w:color w:val="000000"/>
                <w:sz w:val="23"/>
                <w:szCs w:val="23"/>
              </w:rPr>
              <w:t>保证金</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both"/>
              <w:rPr>
                <w:rFonts w:hint="default"/>
                <w:lang w:val="en-US" w:eastAsia="zh-CN"/>
              </w:rPr>
            </w:pPr>
            <w:r>
              <w:rPr>
                <w:rFonts w:hint="eastAsia"/>
                <w:lang w:val="en-US" w:eastAsia="zh-CN"/>
              </w:rPr>
              <w:t>投标保金额：招标控制价的2%，</w:t>
            </w:r>
            <w:r>
              <w:rPr>
                <w:rFonts w:hint="eastAsia"/>
              </w:rPr>
              <w:t>保证金缴纳截止时间：投标截止时间</w:t>
            </w:r>
            <w:r>
              <w:rPr>
                <w:rFonts w:hint="eastAsia"/>
                <w:lang w:val="en-US" w:eastAsia="zh-CN"/>
              </w:rPr>
              <w:t>。</w:t>
            </w:r>
          </w:p>
          <w:p>
            <w:pPr>
              <w:spacing w:line="400" w:lineRule="exact"/>
              <w:jc w:val="both"/>
              <w:rPr>
                <w:rFonts w:hint="eastAsia"/>
                <w:lang w:val="en-US" w:eastAsia="zh-CN"/>
              </w:rPr>
            </w:pPr>
            <w:r>
              <w:rPr>
                <w:rFonts w:hint="eastAsia"/>
                <w:lang w:val="en-US" w:eastAsia="zh-CN"/>
              </w:rPr>
              <w:t>投标保证金形式：</w:t>
            </w:r>
          </w:p>
          <w:p>
            <w:pPr>
              <w:spacing w:line="400" w:lineRule="exact"/>
              <w:jc w:val="both"/>
            </w:pPr>
            <w:r>
              <w:t>第一类：</w:t>
            </w:r>
            <w:r>
              <w:rPr>
                <w:rFonts w:hint="eastAsia" w:eastAsia="宋体"/>
                <w:lang w:eastAsia="zh-CN"/>
              </w:rPr>
              <w:sym w:font="Wingdings 2" w:char="0052"/>
            </w:r>
            <w:r>
              <w:t>现金（电汇或转账）</w:t>
            </w:r>
          </w:p>
          <w:p>
            <w:pPr>
              <w:spacing w:line="400" w:lineRule="exact"/>
              <w:jc w:val="both"/>
            </w:pPr>
            <w:r>
              <w:t>第二类：</w:t>
            </w:r>
            <w:r>
              <w:rPr>
                <w:rFonts w:hint="eastAsia" w:eastAsia="宋体"/>
                <w:lang w:eastAsia="zh-CN"/>
              </w:rPr>
              <w:sym w:font="Wingdings 2" w:char="0052"/>
            </w:r>
            <w:r>
              <w:t>纸质银行保函</w:t>
            </w:r>
          </w:p>
          <w:p>
            <w:pPr>
              <w:spacing w:line="400" w:lineRule="exact"/>
              <w:jc w:val="both"/>
              <w:rPr>
                <w:rFonts w:hint="eastAsia"/>
                <w:lang w:eastAsia="zh-CN"/>
              </w:rPr>
            </w:pPr>
            <w:r>
              <w:rPr>
                <w:rFonts w:hint="eastAsia"/>
              </w:rPr>
              <w:t>投标保证金账户</w:t>
            </w:r>
            <w:r>
              <w:rPr>
                <w:rFonts w:hint="eastAsia"/>
                <w:lang w:eastAsia="zh-CN"/>
              </w:rPr>
              <w:t>：</w:t>
            </w:r>
          </w:p>
          <w:p>
            <w:pPr>
              <w:rPr>
                <w:rFonts w:hint="eastAsia"/>
                <w:lang w:eastAsia="zh-CN"/>
              </w:rPr>
            </w:pPr>
            <w:r>
              <w:rPr>
                <w:rFonts w:hint="eastAsia"/>
              </w:rPr>
              <w:t>账 户 名：</w:t>
            </w:r>
            <w:r>
              <w:rPr>
                <w:rFonts w:hint="eastAsia"/>
                <w:lang w:eastAsia="zh-CN"/>
              </w:rPr>
              <w:t>安徽津腾建设工程有限公司</w:t>
            </w:r>
          </w:p>
          <w:p>
            <w:pPr>
              <w:rPr>
                <w:rFonts w:hint="eastAsia"/>
                <w:lang w:eastAsia="zh-CN"/>
              </w:rPr>
            </w:pPr>
            <w:r>
              <w:rPr>
                <w:rFonts w:hint="eastAsia"/>
              </w:rPr>
              <w:t>开 户 行：安徽</w:t>
            </w:r>
            <w:r>
              <w:rPr>
                <w:rFonts w:hint="eastAsia"/>
                <w:lang w:eastAsia="zh-CN"/>
              </w:rPr>
              <w:t>宁国农村商业银行股份有限公司</w:t>
            </w:r>
          </w:p>
          <w:p>
            <w:pPr>
              <w:rPr>
                <w:rFonts w:hint="eastAsia"/>
                <w:lang w:val="en-US" w:eastAsia="zh-CN"/>
              </w:rPr>
            </w:pPr>
            <w:r>
              <w:rPr>
                <w:rFonts w:hint="eastAsia"/>
              </w:rPr>
              <w:t>账    号：200</w:t>
            </w:r>
            <w:r>
              <w:rPr>
                <w:rFonts w:hint="eastAsia"/>
                <w:lang w:val="en-US" w:eastAsia="zh-CN"/>
              </w:rPr>
              <w:t>10289345266600000018</w:t>
            </w:r>
          </w:p>
          <w:p>
            <w:pPr>
              <w:pStyle w:val="2"/>
              <w:rPr>
                <w:rFonts w:hint="eastAsia" w:ascii="宋体" w:hAnsi="宋体" w:eastAsia="宋体" w:cs="宋体"/>
                <w:b w:val="0"/>
                <w:bCs w:val="0"/>
                <w:color w:val="000000" w:themeColor="text1"/>
                <w:sz w:val="22"/>
                <w:szCs w:val="22"/>
                <w:lang w:eastAsia="zh-CN"/>
                <w14:textFill>
                  <w14:solidFill>
                    <w14:schemeClr w14:val="tx1"/>
                  </w14:solidFill>
                </w14:textFill>
              </w:rPr>
            </w:pPr>
            <w:r>
              <w:rPr>
                <w:rFonts w:hint="eastAsia" w:ascii="宋体" w:hAnsi="宋体" w:eastAsia="宋体" w:cs="宋体"/>
                <w:b w:val="0"/>
                <w:bCs w:val="0"/>
                <w:color w:val="000000" w:themeColor="text1"/>
                <w:sz w:val="22"/>
                <w:szCs w:val="22"/>
                <w14:textFill>
                  <w14:solidFill>
                    <w14:schemeClr w14:val="tx1"/>
                  </w14:solidFill>
                </w14:textFill>
              </w:rPr>
              <w:t xml:space="preserve">递交要求： （1）如采用第一类形式：投标保证金必须从投标人的开户银行基本账户足额转出，汇 款人必须与投标人名称相一致，不得由其他法人或其他组织代 汇，也不得从个人账户代汇。投标保证金必须在投标截止时间 前到达指定账户，由于投标人迟汇、错汇、误汇等未按规定提 交投标保证金而引起的风险由投标人自负。 </w:t>
            </w:r>
            <w:r>
              <w:rPr>
                <w:rFonts w:hint="eastAsia" w:ascii="宋体" w:hAnsi="宋体" w:eastAsia="宋体" w:cs="宋体"/>
                <w:b w:val="0"/>
                <w:bCs w:val="0"/>
                <w:color w:val="000000" w:themeColor="text1"/>
                <w:sz w:val="22"/>
                <w:szCs w:val="22"/>
                <w:lang w:eastAsia="zh-CN"/>
                <w14:textFill>
                  <w14:solidFill>
                    <w14:schemeClr w14:val="tx1"/>
                  </w14:solidFill>
                </w14:textFill>
              </w:rPr>
              <w:t>安徽津腾建设工程有限公司</w:t>
            </w:r>
            <w:r>
              <w:rPr>
                <w:rFonts w:hint="eastAsia" w:ascii="宋体" w:hAnsi="宋体" w:eastAsia="宋体" w:cs="宋体"/>
                <w:b w:val="0"/>
                <w:bCs w:val="0"/>
                <w:color w:val="000000" w:themeColor="text1"/>
                <w:sz w:val="22"/>
                <w:szCs w:val="22"/>
                <w14:textFill>
                  <w14:solidFill>
                    <w14:schemeClr w14:val="tx1"/>
                  </w14:solidFill>
                </w14:textFill>
              </w:rPr>
              <w:t>在收到投标保证金后，无须向投标 人出具收据；投标人在收到</w:t>
            </w:r>
            <w:r>
              <w:rPr>
                <w:rFonts w:hint="eastAsia" w:ascii="宋体" w:hAnsi="宋体" w:eastAsia="宋体" w:cs="宋体"/>
                <w:b w:val="0"/>
                <w:bCs w:val="0"/>
                <w:color w:val="000000" w:themeColor="text1"/>
                <w:sz w:val="22"/>
                <w:szCs w:val="22"/>
                <w:lang w:eastAsia="zh-CN"/>
                <w14:textFill>
                  <w14:solidFill>
                    <w14:schemeClr w14:val="tx1"/>
                  </w14:solidFill>
                </w14:textFill>
              </w:rPr>
              <w:t>安徽津腾建设工程有限公司</w:t>
            </w:r>
            <w:r>
              <w:rPr>
                <w:rFonts w:hint="eastAsia" w:ascii="宋体" w:hAnsi="宋体" w:eastAsia="宋体" w:cs="宋体"/>
                <w:b w:val="0"/>
                <w:bCs w:val="0"/>
                <w:color w:val="000000" w:themeColor="text1"/>
                <w:sz w:val="22"/>
                <w:szCs w:val="22"/>
                <w14:textFill>
                  <w14:solidFill>
                    <w14:schemeClr w14:val="tx1"/>
                  </w14:solidFill>
                </w14:textFill>
              </w:rPr>
              <w:t>退还的投 标保证金后，也无须向</w:t>
            </w:r>
            <w:r>
              <w:rPr>
                <w:rFonts w:hint="eastAsia" w:ascii="宋体" w:hAnsi="宋体" w:eastAsia="宋体" w:cs="宋体"/>
                <w:b w:val="0"/>
                <w:bCs w:val="0"/>
                <w:color w:val="000000" w:themeColor="text1"/>
                <w:sz w:val="22"/>
                <w:szCs w:val="22"/>
                <w:lang w:eastAsia="zh-CN"/>
                <w14:textFill>
                  <w14:solidFill>
                    <w14:schemeClr w14:val="tx1"/>
                  </w14:solidFill>
                </w14:textFill>
              </w:rPr>
              <w:t>安徽津腾建设工程有限公司</w:t>
            </w:r>
            <w:r>
              <w:rPr>
                <w:rFonts w:hint="eastAsia" w:ascii="宋体" w:hAnsi="宋体" w:eastAsia="宋体" w:cs="宋体"/>
                <w:b w:val="0"/>
                <w:bCs w:val="0"/>
                <w:color w:val="000000" w:themeColor="text1"/>
                <w:sz w:val="22"/>
                <w:szCs w:val="22"/>
                <w14:textFill>
                  <w14:solidFill>
                    <w14:schemeClr w14:val="tx1"/>
                  </w14:solidFill>
                </w14:textFill>
              </w:rPr>
              <w:t>出具收据。</w:t>
            </w:r>
            <w:r>
              <w:rPr>
                <w:rFonts w:hint="eastAsia" w:ascii="宋体" w:hAnsi="宋体" w:eastAsia="宋体" w:cs="宋体"/>
                <w:b w:val="0"/>
                <w:bCs w:val="0"/>
                <w:color w:val="000000" w:themeColor="text1"/>
                <w:sz w:val="22"/>
                <w:szCs w:val="22"/>
                <w:lang w:eastAsia="zh-CN"/>
                <w14:textFill>
                  <w14:solidFill>
                    <w14:schemeClr w14:val="tx1"/>
                  </w14:solidFill>
                </w14:textFill>
              </w:rPr>
              <w:t>未中标单位投标保证金在开标结果公示后</w:t>
            </w:r>
            <w:r>
              <w:rPr>
                <w:rFonts w:hint="eastAsia" w:ascii="宋体" w:hAnsi="宋体" w:eastAsia="宋体" w:cs="宋体"/>
                <w:b w:val="0"/>
                <w:bCs w:val="0"/>
                <w:color w:val="000000" w:themeColor="text1"/>
                <w:sz w:val="22"/>
                <w:szCs w:val="22"/>
                <w:lang w:val="en-US" w:eastAsia="zh-CN"/>
                <w14:textFill>
                  <w14:solidFill>
                    <w14:schemeClr w14:val="tx1"/>
                  </w14:solidFill>
                </w14:textFill>
              </w:rPr>
              <w:t>3日内无息退还。</w:t>
            </w:r>
            <w:r>
              <w:rPr>
                <w:rFonts w:hint="eastAsia" w:ascii="宋体" w:hAnsi="宋体" w:eastAsia="宋体" w:cs="宋体"/>
                <w:b w:val="0"/>
                <w:bCs w:val="0"/>
                <w:color w:val="000000" w:themeColor="text1"/>
                <w:sz w:val="22"/>
                <w:szCs w:val="22"/>
                <w14:textFill>
                  <w14:solidFill>
                    <w14:schemeClr w14:val="tx1"/>
                  </w14:solidFill>
                </w14:textFill>
              </w:rPr>
              <w:t>有下列情形之一的，投标保证金将不予退还： （1）投标截止后投标人撤销投标文件的； （2）中标人在收到中标通知书后，无正当理由不与招标人订 立合同</w:t>
            </w:r>
            <w:r>
              <w:rPr>
                <w:rFonts w:hint="eastAsia" w:ascii="宋体" w:hAnsi="宋体" w:eastAsia="宋体" w:cs="宋体"/>
                <w:b w:val="0"/>
                <w:bCs w:val="0"/>
                <w:color w:val="000000" w:themeColor="text1"/>
                <w:sz w:val="22"/>
                <w:szCs w:val="22"/>
                <w:lang w:eastAsia="zh-CN"/>
                <w14:textFill>
                  <w14:solidFill>
                    <w14:schemeClr w14:val="tx1"/>
                  </w14:solidFill>
                </w14:textFill>
              </w:rPr>
              <w:t>。</w:t>
            </w:r>
            <w:r>
              <w:rPr>
                <w:rFonts w:hint="eastAsia" w:ascii="宋体" w:hAnsi="宋体" w:eastAsia="宋体" w:cs="宋体"/>
                <w:b w:val="0"/>
                <w:bCs w:val="0"/>
                <w:color w:val="000000" w:themeColor="text1"/>
                <w:sz w:val="22"/>
                <w:szCs w:val="22"/>
                <w14:textFill>
                  <w14:solidFill>
                    <w14:schemeClr w14:val="tx1"/>
                  </w14:solidFill>
                </w14:textFill>
              </w:rPr>
              <w:t>（2）如采用第二类形式： ①采用纸质银行保函的，应为投标人基本账户开户行出具的见 索即付无条件银行保函（见投标文件格式）； ②出具保函的银行级别：无要求。所需的费用由投标人承担。 ③投标人在投标文件中必须提供【基本账户开户许可证】扫描 件（或投标企业基本账户开户银行的基本存款账户信息），并 按格式承诺真实有效。同时将纸质银行保函复印件(或影印件) 提供在投标文件中，格式见投标保证金银行保函格式。 ④中标人候选人须在中标候选人公示期满后 3 个工作日内，将 其开具至本项目的纸质银行保函原件提交招标人，且原件须与 投标文件中提供的扫描件一致，如存在未按规定提交或提交内 容不一致的，招标人有权取消其中标候选人资格；发现弄虚作 假的，招标人将报监管部门依法处理。</w:t>
            </w:r>
          </w:p>
          <w:p>
            <w:pPr>
              <w:spacing w:line="400" w:lineRule="exact"/>
              <w:jc w:val="left"/>
              <w:rPr>
                <w:rFonts w:hint="default" w:ascii="宋体" w:hAnsi="宋体" w:eastAsia="宋体" w:cs="宋体"/>
                <w:color w:val="000000"/>
                <w:szCs w:val="21"/>
                <w:highlight w:val="none"/>
                <w:u w:val="single"/>
                <w:lang w:val="en-US" w:eastAsia="zh-CN"/>
              </w:rPr>
            </w:pPr>
          </w:p>
        </w:tc>
      </w:tr>
      <w:tr>
        <w:tblPrEx>
          <w:tblCellMar>
            <w:top w:w="0" w:type="dxa"/>
            <w:left w:w="108" w:type="dxa"/>
            <w:bottom w:w="0" w:type="dxa"/>
            <w:right w:w="108" w:type="dxa"/>
          </w:tblCellMar>
        </w:tblPrEx>
        <w:trPr>
          <w:trHeight w:val="529"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23</w:t>
            </w:r>
          </w:p>
        </w:tc>
        <w:tc>
          <w:tcPr>
            <w:tcW w:w="9975" w:type="dxa"/>
            <w:gridSpan w:val="3"/>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24</w:t>
            </w:r>
          </w:p>
        </w:tc>
        <w:tc>
          <w:tcPr>
            <w:tcW w:w="9975" w:type="dxa"/>
            <w:gridSpan w:val="3"/>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资格审查材料：企业法人营业执照（副本）、企业资质证书、企业安全生产许可证；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47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25</w:t>
            </w:r>
          </w:p>
        </w:tc>
        <w:tc>
          <w:tcPr>
            <w:tcW w:w="9975" w:type="dxa"/>
            <w:gridSpan w:val="3"/>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26</w:t>
            </w:r>
          </w:p>
        </w:tc>
        <w:tc>
          <w:tcPr>
            <w:tcW w:w="9975" w:type="dxa"/>
            <w:gridSpan w:val="3"/>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left"/>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1、合同价格形式：</w:t>
            </w:r>
            <w:r>
              <w:rPr>
                <w:rFonts w:hint="eastAsia" w:ascii="宋体" w:hAnsi="宋体" w:eastAsia="宋体" w:cs="宋体"/>
                <w:color w:val="000000"/>
                <w:sz w:val="23"/>
                <w:szCs w:val="23"/>
                <w:lang w:val="en-US" w:eastAsia="zh-CN"/>
              </w:rPr>
              <w:sym w:font="Wingdings 2" w:char="0052"/>
            </w:r>
            <w:r>
              <w:rPr>
                <w:rFonts w:hint="eastAsia" w:ascii="宋体" w:hAnsi="宋体" w:eastAsia="宋体" w:cs="宋体"/>
                <w:color w:val="000000"/>
                <w:sz w:val="23"/>
                <w:szCs w:val="23"/>
                <w:lang w:val="en-US" w:eastAsia="zh-CN"/>
              </w:rPr>
              <w:t xml:space="preserve"> 固定单价合同，投标单价不予调整。</w:t>
            </w:r>
            <w:r>
              <w:rPr>
                <w:rFonts w:hint="eastAsia" w:ascii="宋体" w:hAnsi="宋体" w:eastAsia="宋体" w:cs="宋体"/>
                <w:sz w:val="23"/>
                <w:szCs w:val="23"/>
                <w:lang w:val="en-US" w:eastAsia="zh-CN"/>
              </w:rPr>
              <w:t>中标单价*暂定工程量，结算总价=中标单价*实际工程量；</w:t>
            </w:r>
          </w:p>
          <w:p>
            <w:pPr>
              <w:numPr>
                <w:ilvl w:val="0"/>
                <w:numId w:val="0"/>
              </w:numPr>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3"/>
                <w:szCs w:val="23"/>
                <w:lang w:val="en-US" w:eastAsia="zh-CN"/>
              </w:rPr>
              <w:t>2、付款方式：</w:t>
            </w:r>
            <w:r>
              <w:rPr>
                <w:rFonts w:hint="eastAsia" w:ascii="宋体" w:hAnsi="宋体" w:eastAsia="宋体" w:cs="宋体"/>
                <w:sz w:val="22"/>
                <w:szCs w:val="22"/>
                <w:lang w:val="en-US" w:eastAsia="zh-CN"/>
              </w:rPr>
              <w:t>乙方前期垫资100万元混凝土货款后，甲方每个月付供应量的60%混凝土货款，竣工验收合格后支付全部混凝土货款的80%，剩余混凝土货款待审计结束后一个月内一次性付清（无息）。</w:t>
            </w:r>
          </w:p>
        </w:tc>
      </w:tr>
      <w:tr>
        <w:tblPrEx>
          <w:tblCellMar>
            <w:top w:w="0" w:type="dxa"/>
            <w:left w:w="108" w:type="dxa"/>
            <w:bottom w:w="0" w:type="dxa"/>
            <w:right w:w="108" w:type="dxa"/>
          </w:tblCellMar>
        </w:tblPrEx>
        <w:trPr>
          <w:trHeight w:val="5213" w:hRule="atLeast"/>
        </w:trPr>
        <w:tc>
          <w:tcPr>
            <w:tcW w:w="573" w:type="dxa"/>
            <w:tcBorders>
              <w:top w:val="single" w:color="FBF1D7" w:sz="4" w:space="0"/>
              <w:left w:val="single" w:color="FFFFFF" w:sz="4" w:space="0"/>
              <w:bottom w:val="single" w:color="E9AD1D" w:sz="4" w:space="0"/>
              <w:right w:val="single" w:color="FBF1D7" w:sz="4" w:space="0"/>
            </w:tcBorders>
            <w:shd w:val="clear" w:color="auto" w:fill="FBF1D7"/>
            <w:noWrap w:val="0"/>
            <w:vAlign w:val="center"/>
          </w:tcPr>
          <w:p>
            <w:pPr>
              <w:spacing w:line="400" w:lineRule="exact"/>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27</w:t>
            </w:r>
          </w:p>
        </w:tc>
        <w:tc>
          <w:tcPr>
            <w:tcW w:w="2915" w:type="dxa"/>
            <w:tcBorders>
              <w:top w:val="single" w:color="FBF1D7" w:sz="4" w:space="0"/>
              <w:left w:val="single" w:color="FBF1D7" w:sz="4" w:space="0"/>
              <w:bottom w:val="single" w:color="E9AD1D" w:sz="4" w:space="0"/>
              <w:right w:val="single" w:color="auto" w:sz="4" w:space="0"/>
            </w:tcBorders>
            <w:shd w:val="clear" w:color="auto" w:fill="FBF1D7"/>
            <w:noWrap w:val="0"/>
            <w:vAlign w:val="center"/>
          </w:tcPr>
          <w:p>
            <w:pPr>
              <w:spacing w:line="400" w:lineRule="exact"/>
              <w:jc w:val="left"/>
              <w:rPr>
                <w:rFonts w:hint="default"/>
                <w:color w:val="000000"/>
                <w:sz w:val="24"/>
                <w:szCs w:val="24"/>
                <w:lang w:val="en-US" w:eastAsia="zh-CN"/>
              </w:rPr>
            </w:pPr>
            <w:r>
              <w:rPr>
                <w:rFonts w:ascii="宋体" w:hAnsi="宋体" w:eastAsia="宋体" w:cs="宋体"/>
                <w:b w:val="0"/>
                <w:bCs w:val="0"/>
                <w:sz w:val="24"/>
                <w:szCs w:val="24"/>
              </w:rPr>
              <w:t>履约保证金、质 量保证金</w:t>
            </w:r>
          </w:p>
        </w:tc>
        <w:tc>
          <w:tcPr>
            <w:tcW w:w="7060" w:type="dxa"/>
            <w:gridSpan w:val="2"/>
            <w:tcBorders>
              <w:top w:val="single" w:color="FBF1D7" w:sz="4" w:space="0"/>
              <w:left w:val="single" w:color="auto" w:sz="4" w:space="0"/>
              <w:bottom w:val="single" w:color="E9AD1D" w:sz="4" w:space="0"/>
              <w:right w:val="single" w:color="FFFFFF" w:sz="4" w:space="0"/>
            </w:tcBorders>
            <w:shd w:val="clear" w:color="auto" w:fill="FBF1D7"/>
            <w:noWrap w:val="0"/>
            <w:vAlign w:val="center"/>
          </w:tcPr>
          <w:p>
            <w:pPr>
              <w:spacing w:line="400" w:lineRule="exact"/>
              <w:jc w:val="left"/>
            </w:pPr>
            <w:r>
              <w:t>履约保证金和质量保证金缴纳的形式：电汇或转账或银行保函 或保证保险或担保保函</w:t>
            </w:r>
          </w:p>
          <w:p>
            <w:pPr>
              <w:spacing w:line="400" w:lineRule="exact"/>
              <w:jc w:val="left"/>
              <w:rPr>
                <w:rFonts w:hint="default"/>
                <w:color w:val="000000"/>
                <w:sz w:val="24"/>
                <w:szCs w:val="24"/>
                <w:lang w:val="en-US" w:eastAsia="zh-CN"/>
              </w:rPr>
            </w:pPr>
            <w:r>
              <w:rPr>
                <w:rFonts w:ascii="宋体" w:hAnsi="宋体" w:eastAsia="宋体" w:cs="宋体"/>
                <w:b w:val="0"/>
                <w:bCs w:val="0"/>
                <w:sz w:val="24"/>
                <w:szCs w:val="24"/>
              </w:rPr>
              <w:t>履约保证金的金额：中标价的 2% 质量保证金的金额：</w:t>
            </w:r>
            <w:r>
              <w:rPr>
                <w:rFonts w:hint="eastAsia" w:ascii="宋体" w:hAnsi="宋体" w:eastAsia="宋体" w:cs="宋体"/>
                <w:b w:val="0"/>
                <w:bCs w:val="0"/>
                <w:sz w:val="24"/>
                <w:szCs w:val="24"/>
                <w:lang w:eastAsia="zh-CN"/>
              </w:rPr>
              <w:t>结算价</w:t>
            </w:r>
            <w:r>
              <w:rPr>
                <w:rFonts w:ascii="宋体" w:hAnsi="宋体" w:eastAsia="宋体" w:cs="宋体"/>
                <w:b w:val="0"/>
                <w:bCs w:val="0"/>
                <w:sz w:val="24"/>
                <w:szCs w:val="24"/>
              </w:rPr>
              <w:t xml:space="preserve">的 3% </w:t>
            </w:r>
            <w:r>
              <w:rPr>
                <w:rFonts w:hint="eastAsia" w:ascii="宋体" w:hAnsi="宋体" w:eastAsia="宋体" w:cs="宋体"/>
                <w:b w:val="0"/>
                <w:bCs w:val="0"/>
                <w:sz w:val="24"/>
                <w:szCs w:val="24"/>
                <w:lang w:val="en-US" w:eastAsia="zh-CN"/>
              </w:rPr>
              <w:t>,从工程款中扣除或提供相等保函</w:t>
            </w:r>
            <w:r>
              <w:rPr>
                <w:rFonts w:ascii="宋体" w:hAnsi="宋体" w:eastAsia="宋体" w:cs="宋体"/>
                <w:b w:val="0"/>
                <w:bCs w:val="0"/>
                <w:sz w:val="24"/>
                <w:szCs w:val="24"/>
              </w:rPr>
              <w:t>。</w:t>
            </w:r>
          </w:p>
        </w:tc>
      </w:tr>
      <w:tr>
        <w:tblPrEx>
          <w:tblCellMar>
            <w:top w:w="0" w:type="dxa"/>
            <w:left w:w="108" w:type="dxa"/>
            <w:bottom w:w="0" w:type="dxa"/>
            <w:right w:w="108" w:type="dxa"/>
          </w:tblCellMar>
        </w:tblPrEx>
        <w:trPr>
          <w:trHeight w:val="5213" w:hRule="atLeast"/>
        </w:trPr>
        <w:tc>
          <w:tcPr>
            <w:tcW w:w="573" w:type="dxa"/>
            <w:tcBorders>
              <w:top w:val="single" w:color="FBF1D7" w:sz="4" w:space="0"/>
              <w:left w:val="single" w:color="FFFFFF" w:sz="4" w:space="0"/>
              <w:bottom w:val="single" w:color="E9AD1D" w:sz="4" w:space="0"/>
              <w:right w:val="single" w:color="FBF1D7" w:sz="4" w:space="0"/>
            </w:tcBorders>
            <w:shd w:val="clear" w:color="auto" w:fill="FBF1D7"/>
            <w:noWrap w:val="0"/>
            <w:vAlign w:val="center"/>
          </w:tcPr>
          <w:p>
            <w:pPr>
              <w:spacing w:line="400" w:lineRule="exact"/>
              <w:jc w:val="both"/>
              <w:rPr>
                <w:rFonts w:hint="eastAsia" w:ascii="宋体" w:hAnsi="宋体" w:eastAsia="宋体" w:cs="宋体"/>
                <w:color w:val="000000"/>
                <w:sz w:val="24"/>
                <w:szCs w:val="24"/>
              </w:rPr>
            </w:pPr>
          </w:p>
        </w:tc>
        <w:tc>
          <w:tcPr>
            <w:tcW w:w="9975" w:type="dxa"/>
            <w:gridSpan w:val="3"/>
            <w:tcBorders>
              <w:top w:val="single" w:color="FBF1D7" w:sz="4" w:space="0"/>
              <w:left w:val="single" w:color="FBF1D7" w:sz="4" w:space="0"/>
              <w:bottom w:val="single" w:color="E9AD1D" w:sz="4" w:space="0"/>
              <w:right w:val="single" w:color="FFFFFF" w:sz="4" w:space="0"/>
            </w:tcBorders>
            <w:shd w:val="clear" w:color="auto" w:fill="FBF1D7"/>
            <w:noWrap w:val="0"/>
            <w:vAlign w:val="center"/>
          </w:tcPr>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p>
            <w:pPr>
              <w:numPr>
                <w:ilvl w:val="0"/>
                <w:numId w:val="3"/>
              </w:numPr>
              <w:spacing w:line="400" w:lineRule="exact"/>
              <w:jc w:val="left"/>
              <w:rPr>
                <w:rFonts w:hint="default"/>
                <w:lang w:val="en-US" w:eastAsia="zh-CN"/>
              </w:rPr>
            </w:pPr>
            <w:r>
              <w:rPr>
                <w:rFonts w:hint="eastAsia" w:ascii="宋体" w:hAnsi="宋体" w:eastAsia="宋体" w:cs="宋体"/>
                <w:color w:val="000000"/>
                <w:sz w:val="24"/>
                <w:szCs w:val="24"/>
                <w:lang w:val="en-US" w:eastAsia="zh-CN"/>
              </w:rPr>
              <w:t>本工程提供</w:t>
            </w:r>
            <w:r>
              <w:rPr>
                <w:rFonts w:hint="eastAsia" w:ascii="宋体" w:hAnsi="宋体" w:cs="宋体"/>
                <w:color w:val="000000"/>
                <w:sz w:val="24"/>
                <w:szCs w:val="24"/>
                <w:lang w:val="en-US" w:eastAsia="zh-CN"/>
              </w:rPr>
              <w:t>13%</w:t>
            </w:r>
            <w:r>
              <w:rPr>
                <w:rFonts w:hint="eastAsia" w:ascii="宋体" w:hAnsi="宋体" w:eastAsia="宋体" w:cs="宋体"/>
                <w:color w:val="000000"/>
                <w:sz w:val="24"/>
                <w:szCs w:val="24"/>
                <w:lang w:val="en-US" w:eastAsia="zh-CN"/>
              </w:rPr>
              <w:t>增值税专用发票（可用贸易公司签合同开票）。</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color w:val="000000"/>
                <w:sz w:val="24"/>
                <w:szCs w:val="24"/>
                <w:lang w:val="en-US" w:eastAsia="zh-CN"/>
              </w:rPr>
              <w:t>2、</w:t>
            </w:r>
            <w:r>
              <w:rPr>
                <w:rFonts w:hint="eastAsia" w:ascii="宋体" w:hAnsi="宋体" w:eastAsia="宋体" w:cs="宋体"/>
                <w:sz w:val="24"/>
                <w:szCs w:val="24"/>
                <w:lang w:val="en-US" w:eastAsia="zh-CN"/>
              </w:rPr>
              <w:t>调价条件：按PO42.5散装水泥XXX元/吨为基数，涨跌XXX元/吨，混凝土涨跌XXX元/m³。</w:t>
            </w:r>
          </w:p>
          <w:p>
            <w:pPr>
              <w:pStyle w:val="184"/>
              <w:numPr>
                <w:ilvl w:val="0"/>
                <w:numId w:val="0"/>
              </w:numPr>
              <w:autoSpaceDE w:val="0"/>
              <w:spacing w:line="300" w:lineRule="exact"/>
              <w:ind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中标候选人在中标后第一次放弃中标资格，将处以其6个月内不得参与库内投标的处罚。</w:t>
            </w:r>
          </w:p>
          <w:p>
            <w:pPr>
              <w:pStyle w:val="184"/>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color w:val="000000"/>
                <w:sz w:val="24"/>
                <w:szCs w:val="24"/>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179632565"/>
      <w:bookmarkStart w:id="23" w:name="_Toc246996192"/>
      <w:bookmarkStart w:id="24" w:name="_Toc296602437"/>
      <w:bookmarkStart w:id="25" w:name="_Toc152042323"/>
      <w:bookmarkStart w:id="26" w:name="_Toc247085706"/>
      <w:bookmarkStart w:id="27" w:name="_Toc246996935"/>
      <w:bookmarkStart w:id="28" w:name="_Toc152045547"/>
      <w:bookmarkStart w:id="29" w:name="_Toc144974515"/>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5、企业法人营业执照（副本）、企业资质证书、企业安全生产许可证；项目负责人相关证书；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w:t>
      </w:r>
      <w:r>
        <w:rPr>
          <w:rFonts w:hint="eastAsia" w:ascii="宋体" w:hAnsi="宋体" w:eastAsia="宋体" w:cs="宋体"/>
          <w:sz w:val="24"/>
          <w:szCs w:val="24"/>
          <w:lang w:eastAsia="zh-CN"/>
        </w:rPr>
        <w:t>材料</w:t>
      </w:r>
      <w:r>
        <w:rPr>
          <w:rFonts w:hint="eastAsia" w:ascii="宋体" w:hAnsi="宋体" w:eastAsia="宋体" w:cs="宋体"/>
          <w:sz w:val="24"/>
          <w:szCs w:val="24"/>
        </w:rPr>
        <w:t>。</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3"/>
        <w:keepNext w:val="0"/>
        <w:keepLines w:val="0"/>
        <w:numPr>
          <w:ilvl w:val="0"/>
          <w:numId w:val="4"/>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ind w:firstLine="460" w:firstLineChars="200"/>
      </w:pPr>
      <w:r>
        <w:rPr>
          <w:rFonts w:hint="eastAsia" w:ascii="仿宋" w:hAnsi="仿宋" w:eastAsia="仿宋" w:cs="仿宋"/>
          <w:b w:val="0"/>
          <w:bCs w:val="0"/>
          <w:color w:val="000000"/>
          <w:kern w:val="0"/>
          <w:sz w:val="23"/>
          <w:szCs w:val="23"/>
          <w:highlight w:val="none"/>
          <w:lang w:val="en-US" w:eastAsia="zh-CN" w:bidi="ar-SA"/>
        </w:rPr>
        <w:t xml:space="preserve">  </w:t>
      </w:r>
    </w:p>
    <w:p>
      <w:pPr>
        <w:widowControl/>
        <w:jc w:val="left"/>
        <w:rPr>
          <w:rFonts w:ascii="宋体" w:hAnsi="宋体" w:eastAsia="宋体" w:cs="宋体"/>
          <w:kern w:val="0"/>
          <w:sz w:val="24"/>
          <w:szCs w:val="24"/>
        </w:rPr>
      </w:pPr>
      <w:r>
        <w:rPr>
          <w:rFonts w:hint="eastAsia" w:ascii="黑体" w:hAnsi="黑体" w:eastAsia="黑体" w:cs="宋体"/>
          <w:color w:val="000000"/>
          <w:kern w:val="0"/>
          <w:sz w:val="29"/>
          <w:szCs w:val="29"/>
        </w:rPr>
        <w:t>综合评</w:t>
      </w:r>
      <w:r>
        <w:rPr>
          <w:rFonts w:hint="eastAsia" w:ascii="黑体" w:hAnsi="黑体" w:eastAsia="黑体" w:cs="宋体"/>
          <w:color w:val="000000"/>
          <w:kern w:val="0"/>
          <w:sz w:val="29"/>
          <w:szCs w:val="29"/>
          <w:lang w:eastAsia="zh-CN"/>
        </w:rPr>
        <w:t>标</w:t>
      </w:r>
      <w:r>
        <w:rPr>
          <w:rFonts w:hint="eastAsia" w:ascii="黑体" w:hAnsi="黑体" w:eastAsia="黑体" w:cs="宋体"/>
          <w:color w:val="000000"/>
          <w:kern w:val="0"/>
          <w:sz w:val="29"/>
          <w:szCs w:val="29"/>
        </w:rPr>
        <w:t xml:space="preserve">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评标委员会根据通过初步评审按评审的投标人的</w:t>
      </w:r>
      <w:r>
        <w:rPr>
          <w:rFonts w:hint="eastAsia" w:ascii="宋体" w:hAnsi="宋体" w:eastAsia="宋体" w:cs="宋体"/>
          <w:color w:val="000000"/>
          <w:kern w:val="0"/>
          <w:sz w:val="24"/>
          <w:szCs w:val="24"/>
          <w:lang w:eastAsia="zh-CN"/>
        </w:rPr>
        <w:t>投标报价</w:t>
      </w:r>
      <w:r>
        <w:rPr>
          <w:rFonts w:hint="eastAsia" w:ascii="宋体" w:hAnsi="宋体" w:eastAsia="宋体" w:cs="宋体"/>
          <w:color w:val="000000"/>
          <w:kern w:val="0"/>
          <w:sz w:val="24"/>
          <w:szCs w:val="24"/>
        </w:rPr>
        <w:t>由</w:t>
      </w:r>
      <w:r>
        <w:rPr>
          <w:rFonts w:hint="eastAsia" w:ascii="宋体" w:hAnsi="宋体" w:eastAsia="宋体" w:cs="宋体"/>
          <w:color w:val="000000"/>
          <w:kern w:val="0"/>
          <w:sz w:val="24"/>
          <w:szCs w:val="24"/>
          <w:lang w:eastAsia="zh-CN"/>
        </w:rPr>
        <w:t>底</w:t>
      </w:r>
      <w:r>
        <w:rPr>
          <w:rFonts w:hint="eastAsia" w:ascii="宋体" w:hAnsi="宋体" w:eastAsia="宋体" w:cs="宋体"/>
          <w:color w:val="000000"/>
          <w:kern w:val="0"/>
          <w:sz w:val="24"/>
          <w:szCs w:val="24"/>
        </w:rPr>
        <w:t>到</w:t>
      </w:r>
      <w:r>
        <w:rPr>
          <w:rFonts w:hint="eastAsia" w:ascii="宋体" w:hAnsi="宋体" w:eastAsia="宋体" w:cs="宋体"/>
          <w:color w:val="000000"/>
          <w:kern w:val="0"/>
          <w:sz w:val="24"/>
          <w:szCs w:val="24"/>
          <w:lang w:eastAsia="zh-CN"/>
        </w:rPr>
        <w:t>高</w:t>
      </w:r>
      <w:r>
        <w:rPr>
          <w:rFonts w:hint="eastAsia" w:ascii="宋体" w:hAnsi="宋体" w:eastAsia="宋体" w:cs="宋体"/>
          <w:color w:val="000000"/>
          <w:kern w:val="0"/>
          <w:sz w:val="24"/>
          <w:szCs w:val="24"/>
        </w:rPr>
        <w:t>顺序依次推荐 1-3 名中标候选人。当出现多家投标人的</w:t>
      </w:r>
      <w:r>
        <w:rPr>
          <w:rFonts w:hint="eastAsia" w:ascii="宋体" w:hAnsi="宋体" w:eastAsia="宋体" w:cs="宋体"/>
          <w:color w:val="000000"/>
          <w:kern w:val="0"/>
          <w:sz w:val="24"/>
          <w:szCs w:val="24"/>
          <w:lang w:eastAsia="zh-CN"/>
        </w:rPr>
        <w:t>投标报价</w:t>
      </w:r>
      <w:r>
        <w:rPr>
          <w:rFonts w:hint="eastAsia" w:ascii="宋体" w:hAnsi="宋体" w:eastAsia="宋体" w:cs="宋体"/>
          <w:color w:val="000000"/>
          <w:kern w:val="0"/>
          <w:sz w:val="24"/>
          <w:szCs w:val="24"/>
        </w:rPr>
        <w:t>相同时，以</w:t>
      </w:r>
      <w:r>
        <w:rPr>
          <w:rFonts w:hint="eastAsia" w:ascii="宋体" w:hAnsi="宋体" w:eastAsia="宋体" w:cs="宋体"/>
          <w:sz w:val="24"/>
          <w:szCs w:val="24"/>
          <w:lang w:val="en-US" w:eastAsia="zh-CN"/>
        </w:rPr>
        <w:t>垫资量大的优于垫资量小的</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确定中标人，若</w:t>
      </w:r>
      <w:r>
        <w:rPr>
          <w:rFonts w:hint="eastAsia" w:ascii="宋体" w:hAnsi="宋体" w:eastAsia="宋体" w:cs="宋体"/>
          <w:color w:val="000000"/>
          <w:kern w:val="0"/>
          <w:sz w:val="24"/>
          <w:szCs w:val="24"/>
        </w:rPr>
        <w:t>还相同的，评标委员会采用随机抽取方法确定排名顺序。</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lang w:eastAsia="zh-CN"/>
        </w:rPr>
        <w:t>评标</w:t>
      </w:r>
      <w:r>
        <w:rPr>
          <w:rFonts w:hint="eastAsia" w:ascii="宋体" w:hAnsi="宋体" w:eastAsia="宋体" w:cs="宋体"/>
          <w:color w:val="000000"/>
          <w:kern w:val="0"/>
          <w:szCs w:val="21"/>
        </w:rPr>
        <w:t xml:space="preserve">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投标报价</w:t>
      </w:r>
      <w:r>
        <w:rPr>
          <w:rFonts w:hint="eastAsia" w:ascii="宋体" w:hAnsi="宋体" w:eastAsia="宋体" w:cs="宋体"/>
          <w:color w:val="000000"/>
          <w:kern w:val="0"/>
          <w:szCs w:val="21"/>
          <w:lang w:val="en-US" w:eastAsia="zh-CN"/>
        </w:rPr>
        <w:t>+</w:t>
      </w:r>
      <w:r>
        <w:rPr>
          <w:rFonts w:hint="eastAsia" w:ascii="宋体" w:hAnsi="宋体" w:eastAsia="宋体" w:cs="宋体"/>
          <w:color w:val="000000"/>
          <w:kern w:val="0"/>
          <w:szCs w:val="21"/>
          <w:lang w:eastAsia="zh-CN"/>
        </w:rPr>
        <w:t>其他条件</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lang w:eastAsia="zh-CN"/>
        </w:rPr>
        <w:t>投标</w:t>
      </w:r>
      <w:r>
        <w:rPr>
          <w:rFonts w:hint="eastAsia" w:ascii="宋体" w:hAnsi="宋体" w:eastAsia="宋体" w:cs="宋体"/>
          <w:color w:val="000000"/>
          <w:kern w:val="0"/>
          <w:szCs w:val="21"/>
        </w:rPr>
        <w:t xml:space="preserve">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1、</w:t>
      </w:r>
      <w:r>
        <w:rPr>
          <w:rFonts w:hint="eastAsia" w:ascii="宋体" w:hAnsi="宋体" w:eastAsia="宋体" w:cs="宋体"/>
          <w:sz w:val="24"/>
          <w:szCs w:val="24"/>
          <w:lang w:val="en-US" w:eastAsia="zh-CN"/>
        </w:rPr>
        <w:t>供应商的报价确定按砼标号以合理低价报单价，报价低的优于报价高的来确定。（即报价单位中7个标号最低单价且同等情况水泥跌XXX元/吨，混凝土每立方下调的最多，为最终确定的供应商的报价的排名。）</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2 </w:t>
      </w:r>
      <w:r>
        <w:rPr>
          <w:rFonts w:hint="eastAsia" w:ascii="宋体" w:hAnsi="宋体" w:eastAsia="宋体" w:cs="宋体"/>
          <w:color w:val="000000"/>
          <w:kern w:val="0"/>
          <w:szCs w:val="21"/>
          <w:lang w:eastAsia="zh-CN"/>
        </w:rPr>
        <w:t>、其他条件</w:t>
      </w:r>
      <w:r>
        <w:rPr>
          <w:rFonts w:hint="eastAsia" w:ascii="宋体" w:hAnsi="宋体" w:eastAsia="宋体" w:cs="宋体"/>
          <w:color w:val="000000"/>
          <w:kern w:val="0"/>
          <w:szCs w:val="21"/>
        </w:rPr>
        <w:t xml:space="preserve"> </w:t>
      </w:r>
      <w:r>
        <w:rPr>
          <w:rFonts w:hint="eastAsia" w:ascii="宋体" w:hAnsi="宋体" w:eastAsia="宋体" w:cs="宋体"/>
          <w:kern w:val="0"/>
          <w:sz w:val="24"/>
          <w:szCs w:val="24"/>
        </w:rPr>
        <w:t>：</w:t>
      </w:r>
    </w:p>
    <w:p>
      <w:pPr>
        <w:ind w:firstLine="480" w:firstLineChars="200"/>
        <w:rPr>
          <w:rFonts w:hint="eastAsia" w:ascii="宋体" w:hAnsi="宋体" w:eastAsia="宋体" w:cs="宋体"/>
          <w:color w:val="000000"/>
          <w:sz w:val="24"/>
          <w:szCs w:val="24"/>
        </w:rPr>
      </w:pPr>
      <w:r>
        <w:rPr>
          <w:rFonts w:hint="eastAsia" w:ascii="宋体" w:hAnsi="宋体" w:eastAsia="宋体" w:cs="宋体"/>
          <w:sz w:val="24"/>
          <w:szCs w:val="24"/>
          <w:lang w:val="en-US" w:eastAsia="zh-CN"/>
        </w:rPr>
        <w:t>供应商需承诺前期垫资100万混凝土货款，否则做废标处理，在此基础上</w:t>
      </w:r>
      <w:r>
        <w:rPr>
          <w:rFonts w:hint="eastAsia" w:ascii="宋体" w:hAnsi="宋体" w:eastAsia="宋体" w:cs="宋体"/>
          <w:color w:val="000000"/>
          <w:sz w:val="24"/>
          <w:szCs w:val="24"/>
          <w:lang w:eastAsia="zh-CN"/>
        </w:rPr>
        <w:t>每</w:t>
      </w:r>
      <w:r>
        <w:rPr>
          <w:rFonts w:hint="eastAsia" w:ascii="宋体" w:hAnsi="宋体" w:eastAsia="宋体" w:cs="宋体"/>
          <w:sz w:val="24"/>
          <w:szCs w:val="24"/>
          <w:lang w:val="en-US" w:eastAsia="zh-CN"/>
        </w:rPr>
        <w:t>承诺前期垫资</w:t>
      </w:r>
      <w:r>
        <w:rPr>
          <w:rFonts w:hint="eastAsia" w:ascii="宋体" w:hAnsi="宋体" w:eastAsia="宋体" w:cs="宋体"/>
          <w:color w:val="000000"/>
          <w:sz w:val="24"/>
          <w:szCs w:val="24"/>
          <w:lang w:eastAsia="zh-CN"/>
        </w:rPr>
        <w:t>增加</w:t>
      </w:r>
      <w:r>
        <w:rPr>
          <w:rFonts w:hint="eastAsia" w:ascii="宋体" w:hAnsi="宋体" w:eastAsia="宋体" w:cs="宋体"/>
          <w:sz w:val="24"/>
          <w:szCs w:val="24"/>
          <w:lang w:val="en-US" w:eastAsia="zh-CN"/>
        </w:rPr>
        <w:t>混凝土货款，</w:t>
      </w:r>
      <w:r>
        <w:rPr>
          <w:rFonts w:hint="eastAsia" w:ascii="宋体" w:hAnsi="宋体" w:eastAsia="宋体" w:cs="宋体"/>
          <w:color w:val="000000"/>
          <w:kern w:val="0"/>
          <w:sz w:val="24"/>
          <w:szCs w:val="24"/>
        </w:rPr>
        <w:t>以</w:t>
      </w:r>
      <w:r>
        <w:rPr>
          <w:rFonts w:hint="eastAsia" w:ascii="宋体" w:hAnsi="宋体" w:eastAsia="宋体" w:cs="宋体"/>
          <w:sz w:val="24"/>
          <w:szCs w:val="24"/>
          <w:lang w:val="en-US" w:eastAsia="zh-CN"/>
        </w:rPr>
        <w:t>垫资量大的优于垫资量小的</w:t>
      </w:r>
      <w:r>
        <w:rPr>
          <w:rFonts w:hint="eastAsia" w:ascii="宋体" w:hAnsi="宋体" w:eastAsia="宋体" w:cs="宋体"/>
          <w:color w:val="000000"/>
          <w:sz w:val="24"/>
          <w:szCs w:val="24"/>
        </w:rPr>
        <w:t>。</w:t>
      </w:r>
    </w:p>
    <w:p>
      <w:pPr>
        <w:rPr>
          <w:rFonts w:hint="default"/>
          <w:b w:val="0"/>
          <w:bCs w:val="0"/>
          <w:lang w:val="en-US"/>
        </w:rPr>
      </w:pPr>
      <w:r>
        <w:rPr>
          <w:rFonts w:hint="eastAsia" w:ascii="宋体" w:hAnsi="宋体" w:cs="宋体"/>
          <w:b w:val="0"/>
          <w:bCs w:val="0"/>
          <w:kern w:val="0"/>
          <w:sz w:val="24"/>
          <w:szCs w:val="24"/>
          <w:lang w:val="en-US" w:eastAsia="zh-CN"/>
        </w:rPr>
        <w:t>3、合理低价中标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lang w:val="en-US"/>
        </w:rPr>
      </w:pPr>
    </w:p>
    <w:p>
      <w:pPr>
        <w:rPr>
          <w:rFonts w:hint="eastAsia"/>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rPr>
      </w:pPr>
    </w:p>
    <w:p>
      <w:pPr>
        <w:pStyle w:val="202"/>
        <w:widowControl w:val="0"/>
        <w:spacing w:before="0" w:beforeAutospacing="0" w:after="0" w:afterAutospacing="0" w:line="550" w:lineRule="exact"/>
        <w:ind w:firstLine="442" w:firstLineChars="200"/>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表一、资格评审标准</w:t>
      </w:r>
    </w:p>
    <w:p>
      <w:pPr>
        <w:spacing w:line="550" w:lineRule="exact"/>
        <w:rPr>
          <w:rFonts w:hint="eastAsia" w:asciiTheme="minorEastAsia" w:hAnsiTheme="minorEastAsia" w:eastAsiaTheme="minorEastAsia" w:cstheme="minorEastAsia"/>
          <w:color w:val="000000"/>
          <w:sz w:val="22"/>
          <w:szCs w:val="22"/>
          <w:u w:val="double"/>
        </w:rPr>
      </w:pPr>
      <w:r>
        <w:rPr>
          <w:rFonts w:hint="eastAsia" w:asciiTheme="minorEastAsia" w:hAnsiTheme="minorEastAsia" w:eastAsiaTheme="minorEastAsia" w:cstheme="minorEastAsia"/>
          <w:color w:val="000000"/>
          <w:sz w:val="22"/>
          <w:szCs w:val="22"/>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评审名称</w:t>
            </w:r>
          </w:p>
        </w:tc>
        <w:tc>
          <w:tcPr>
            <w:tcW w:w="3372" w:type="dxa"/>
            <w:gridSpan w:val="2"/>
            <w:noWrap w:val="0"/>
            <w:vAlign w:val="center"/>
          </w:tcPr>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评审因素</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评审标准</w:t>
            </w:r>
          </w:p>
        </w:tc>
        <w:tc>
          <w:tcPr>
            <w:tcW w:w="1144"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资格评</w:t>
            </w:r>
          </w:p>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color w:val="000000"/>
                <w:sz w:val="22"/>
                <w:szCs w:val="22"/>
              </w:rPr>
              <w:t>审标准</w:t>
            </w: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资格要求</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jc w:val="center"/>
              <w:rPr>
                <w:rFonts w:hint="eastAsia" w:asciiTheme="minorEastAsia" w:hAnsiTheme="minorEastAsia" w:eastAsiaTheme="minorEastAsia" w:cstheme="minorEastAsia"/>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营业执照</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具备有效的营业执照</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安全生产许可证</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具备有效的安全生产许可证（如有）</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法人授权委托书、被授权人身份证</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eastAsia="zh-CN" w:bidi="ar-SA"/>
              </w:rPr>
            </w:pPr>
            <w:r>
              <w:rPr>
                <w:rFonts w:hint="eastAsia" w:asciiTheme="minorEastAsia" w:hAnsiTheme="minorEastAsia" w:eastAsiaTheme="minorEastAsia" w:cstheme="minorEastAsia"/>
                <w:color w:val="000000"/>
                <w:sz w:val="22"/>
                <w:szCs w:val="22"/>
                <w:lang w:eastAsia="zh-CN" w:bidi="ar-SA"/>
              </w:rPr>
              <w:t>企业资质证书</w:t>
            </w:r>
          </w:p>
        </w:tc>
        <w:tc>
          <w:tcPr>
            <w:tcW w:w="3860" w:type="dxa"/>
            <w:noWrap w:val="0"/>
            <w:vAlign w:val="center"/>
          </w:tcPr>
          <w:p>
            <w:pPr>
              <w:spacing w:line="550" w:lineRule="exact"/>
              <w:jc w:val="center"/>
              <w:rPr>
                <w:rFonts w:hint="eastAsia" w:asciiTheme="minorEastAsia" w:hAnsiTheme="minorEastAsia" w:eastAsiaTheme="minorEastAsia" w:cstheme="minorEastAsia"/>
                <w:b/>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6</w:t>
            </w:r>
          </w:p>
        </w:tc>
        <w:tc>
          <w:tcPr>
            <w:tcW w:w="2909" w:type="dxa"/>
            <w:noWrap w:val="0"/>
            <w:vAlign w:val="top"/>
          </w:tcPr>
          <w:p>
            <w:pPr>
              <w:spacing w:line="55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其他要求（如有）</w:t>
            </w:r>
          </w:p>
        </w:tc>
        <w:tc>
          <w:tcPr>
            <w:tcW w:w="3860" w:type="dxa"/>
            <w:noWrap w:val="0"/>
            <w:vAlign w:val="center"/>
          </w:tcPr>
          <w:p>
            <w:pPr>
              <w:spacing w:line="55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Theme="minorEastAsia" w:hAnsiTheme="minorEastAsia" w:eastAsiaTheme="minorEastAsia" w:cstheme="minorEastAsia"/>
                <w:color w:val="000000"/>
                <w:sz w:val="22"/>
                <w:szCs w:val="22"/>
              </w:rPr>
            </w:pP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bl>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ermStart w:id="0" w:edGrp="everyone"/>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highlight w:val="none"/>
          <w:u w:val="double"/>
        </w:rPr>
      </w:pPr>
      <w:r>
        <w:rPr>
          <w:rFonts w:hint="eastAsia" w:asciiTheme="minorEastAsia" w:hAnsiTheme="minorEastAsia" w:eastAsiaTheme="minorEastAsia" w:cstheme="minorEastAsia"/>
          <w:color w:val="000000"/>
          <w:sz w:val="22"/>
          <w:szCs w:val="22"/>
          <w:highlight w:val="none"/>
          <w:u w:val="double"/>
        </w:rPr>
        <w:t>评委会对通过资格审查的投标文件作进一步的评审。评审的基本步骤和基本要求如下：</w:t>
      </w:r>
    </w:p>
    <w:p>
      <w:pPr>
        <w:spacing w:line="550" w:lineRule="exact"/>
        <w:rPr>
          <w:rFonts w:hint="eastAsia" w:asciiTheme="minorEastAsia" w:hAnsiTheme="minorEastAsia" w:eastAsiaTheme="minorEastAsia" w:cstheme="minorEastAsia"/>
          <w:b/>
          <w:color w:val="000000"/>
          <w:sz w:val="22"/>
          <w:szCs w:val="22"/>
          <w:highlight w:val="none"/>
          <w:u w:val="double"/>
        </w:rPr>
      </w:pPr>
    </w:p>
    <w:p>
      <w:pPr>
        <w:pStyle w:val="2"/>
        <w:rPr>
          <w:rFonts w:hint="eastAsia" w:asciiTheme="minorEastAsia" w:hAnsiTheme="minorEastAsia" w:eastAsiaTheme="minorEastAsia" w:cstheme="minorEastAsia"/>
          <w:sz w:val="22"/>
          <w:szCs w:val="22"/>
        </w:rPr>
      </w:pPr>
    </w:p>
    <w:p>
      <w:pPr>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br w:type="page"/>
      </w:r>
    </w:p>
    <w:p>
      <w:pPr>
        <w:spacing w:line="550" w:lineRule="exact"/>
        <w:ind w:firstLine="433" w:firstLineChars="196"/>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t>商务标评审（</w:t>
      </w:r>
      <w:r>
        <w:rPr>
          <w:rFonts w:hint="eastAsia" w:asciiTheme="minorEastAsia" w:hAnsiTheme="minorEastAsia" w:eastAsiaTheme="minorEastAsia" w:cstheme="minorEastAsia"/>
          <w:b/>
          <w:bCs/>
          <w:color w:val="000000"/>
          <w:sz w:val="22"/>
          <w:szCs w:val="22"/>
          <w:highlight w:val="none"/>
          <w:u w:val="double"/>
          <w:lang w:eastAsia="zh-CN"/>
        </w:rPr>
        <w:t>综合评标法</w:t>
      </w:r>
      <w:r>
        <w:rPr>
          <w:rFonts w:hint="eastAsia" w:asciiTheme="minorEastAsia" w:hAnsiTheme="minorEastAsia" w:eastAsiaTheme="minorEastAsia" w:cstheme="minorEastAsia"/>
          <w:b/>
          <w:bCs/>
          <w:color w:val="000000"/>
          <w:sz w:val="22"/>
          <w:szCs w:val="22"/>
          <w:highlight w:val="none"/>
          <w:u w:val="double"/>
        </w:rPr>
        <w:t>）</w:t>
      </w:r>
    </w:p>
    <w:p>
      <w:pPr>
        <w:spacing w:line="550" w:lineRule="exact"/>
        <w:ind w:firstLine="442" w:firstLineChars="200"/>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rPr>
        <w:t>4.</w:t>
      </w:r>
      <w:r>
        <w:rPr>
          <w:rFonts w:hint="eastAsia" w:asciiTheme="minorEastAsia" w:hAnsiTheme="minorEastAsia" w:eastAsiaTheme="minorEastAsia" w:cstheme="minorEastAsia"/>
          <w:b/>
          <w:bCs/>
          <w:color w:val="000000"/>
          <w:sz w:val="22"/>
          <w:szCs w:val="22"/>
          <w:highlight w:val="none"/>
          <w:lang w:val="en-US" w:eastAsia="zh-CN"/>
        </w:rPr>
        <w:t>1</w:t>
      </w:r>
      <w:r>
        <w:rPr>
          <w:rFonts w:hint="eastAsia" w:asciiTheme="minorEastAsia" w:hAnsiTheme="minorEastAsia" w:eastAsiaTheme="minorEastAsia" w:cstheme="minorEastAsia"/>
          <w:b/>
          <w:bCs/>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Theme="minorEastAsia" w:hAnsiTheme="minorEastAsia" w:eastAsiaTheme="minorEastAsia" w:cstheme="minorEastAsia"/>
          <w:b w:val="0"/>
          <w:bCs w:val="0"/>
          <w:color w:val="000000"/>
          <w:sz w:val="22"/>
          <w:szCs w:val="22"/>
          <w:lang w:val="en-US" w:eastAsia="zh-CN"/>
        </w:rPr>
        <w:t>45</w:t>
      </w:r>
      <w:r>
        <w:rPr>
          <w:rFonts w:hint="eastAsia" w:asciiTheme="minorEastAsia" w:hAnsiTheme="minorEastAsia" w:eastAsiaTheme="minorEastAsia" w:cstheme="minorEastAsia"/>
          <w:b w:val="0"/>
          <w:bCs w:val="0"/>
          <w:color w:val="000000"/>
          <w:sz w:val="22"/>
          <w:szCs w:val="22"/>
        </w:rPr>
        <w:t>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spacing w:line="550" w:lineRule="exact"/>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综合评标法评审标准</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p>
    <w:p>
      <w:pPr>
        <w:rPr>
          <w:rFonts w:hint="eastAsia" w:asciiTheme="minorEastAsia" w:hAnsiTheme="minorEastAsia" w:eastAsiaTheme="minorEastAsia" w:cstheme="minorEastAsia"/>
          <w:b/>
          <w:color w:val="000000"/>
          <w:sz w:val="22"/>
          <w:szCs w:val="22"/>
          <w:lang w:val="en-US" w:eastAsia="zh-CN"/>
        </w:rPr>
      </w:pPr>
      <w:r>
        <w:rPr>
          <w:rFonts w:hint="eastAsia" w:asciiTheme="minorEastAsia" w:hAnsiTheme="minorEastAsia" w:eastAsiaTheme="minorEastAsia" w:cstheme="minorEastAsia"/>
          <w:b/>
          <w:color w:val="000000"/>
          <w:sz w:val="22"/>
          <w:szCs w:val="22"/>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keepNext w:val="0"/>
        <w:keepLines w:val="0"/>
        <w:widowControl/>
        <w:suppressLineNumbers w:val="0"/>
        <w:jc w:val="center"/>
        <w:rPr>
          <w:rFonts w:hint="default" w:asciiTheme="majorEastAsia" w:hAnsiTheme="majorEastAsia" w:eastAsiaTheme="majorEastAsia" w:cstheme="majorEastAsia"/>
          <w:b w:val="0"/>
          <w:bCs/>
          <w:color w:val="auto"/>
          <w:spacing w:val="37"/>
          <w:sz w:val="44"/>
          <w:szCs w:val="44"/>
          <w:lang w:val="en-US" w:eastAsia="zh-CN"/>
        </w:rPr>
      </w:pPr>
      <w:r>
        <w:rPr>
          <w:rFonts w:hint="eastAsia" w:asciiTheme="majorEastAsia" w:hAnsiTheme="majorEastAsia" w:eastAsiaTheme="majorEastAsia" w:cstheme="majorEastAsia"/>
          <w:b w:val="0"/>
          <w:bCs w:val="0"/>
          <w:i w:val="0"/>
          <w:iCs w:val="0"/>
          <w:caps w:val="0"/>
          <w:color w:val="4E4E4E"/>
          <w:spacing w:val="0"/>
          <w:sz w:val="44"/>
          <w:szCs w:val="44"/>
          <w:shd w:val="clear" w:fill="FFFFFF"/>
          <w:lang w:eastAsia="zh-CN"/>
        </w:rPr>
        <w:t>安徽省宁国市城镇环境基础设施提升及配套工程EPC项目一标段-河沥商贸街A、B区混凝土采购（第二次）</w:t>
      </w:r>
    </w:p>
    <w:p>
      <w:pPr>
        <w:keepNext w:val="0"/>
        <w:keepLines w:val="0"/>
        <w:widowControl/>
        <w:suppressLineNumbers w:val="0"/>
        <w:jc w:val="center"/>
        <w:rPr>
          <w:rFonts w:hint="eastAsia" w:asciiTheme="majorEastAsia" w:hAnsiTheme="majorEastAsia" w:eastAsiaTheme="majorEastAsia" w:cstheme="majorEastAsia"/>
          <w:b w:val="0"/>
          <w:bCs w:val="0"/>
          <w:color w:val="auto"/>
          <w:spacing w:val="37"/>
          <w:sz w:val="44"/>
          <w:szCs w:val="44"/>
          <w:lang w:val="en-US" w:eastAsia="zh-CN"/>
        </w:rPr>
      </w:pPr>
    </w:p>
    <w:p>
      <w:pPr>
        <w:keepNext w:val="0"/>
        <w:keepLines w:val="0"/>
        <w:widowControl/>
        <w:suppressLineNumbers w:val="0"/>
        <w:jc w:val="center"/>
        <w:rPr>
          <w:rFonts w:hint="eastAsia" w:asciiTheme="majorEastAsia" w:hAnsiTheme="majorEastAsia" w:eastAsiaTheme="majorEastAsia" w:cstheme="majorEastAsia"/>
          <w:b w:val="0"/>
          <w:bCs/>
          <w:color w:val="auto"/>
          <w:spacing w:val="37"/>
          <w:sz w:val="44"/>
          <w:szCs w:val="44"/>
          <w:lang w:val="en-US" w:eastAsia="zh-CN"/>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val="en-US" w:eastAsia="zh-CN"/>
        </w:rPr>
        <w:t>C15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C30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C35</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C40</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cs="宋体"/>
          <w:lang w:val="en-US" w:eastAsia="zh-CN"/>
        </w:rPr>
        <w:t>C25(透水)</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ascii="宋体" w:hAnsi="宋体"/>
          <w:color w:val="000000"/>
          <w:sz w:val="22"/>
          <w:szCs w:val="22"/>
        </w:rPr>
        <w:t>非泵送混凝土扣</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/m3</w:t>
      </w:r>
      <w:r>
        <w:rPr>
          <w:rFonts w:hint="eastAsia" w:ascii="宋体" w:hAnsi="宋体" w:eastAsia="宋体" w:cs="宋体"/>
          <w:color w:val="000000"/>
          <w:kern w:val="0"/>
          <w:sz w:val="21"/>
          <w:szCs w:val="21"/>
          <w:lang w:val="en-US" w:eastAsia="zh-CN" w:bidi="ar"/>
        </w:rPr>
        <w:t>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52045792"/>
      <w:bookmarkStart w:id="31" w:name="_Toc179632812"/>
      <w:bookmarkStart w:id="32" w:name="_Toc247085878"/>
      <w:bookmarkStart w:id="33" w:name="_Toc246996360"/>
      <w:bookmarkStart w:id="34" w:name="_Toc246997103"/>
      <w:bookmarkStart w:id="35" w:name="_Toc329851856"/>
      <w:bookmarkStart w:id="36" w:name="_Toc152042581"/>
      <w:bookmarkStart w:id="37" w:name="_Toc144974861"/>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color w:val="auto"/>
          <w:sz w:val="36"/>
          <w:szCs w:val="36"/>
          <w:lang w:val="en-US" w:eastAsia="zh-CN"/>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pStyle w:val="2"/>
        <w:rPr>
          <w:rFonts w:hint="eastAsia"/>
          <w:lang w:eastAsia="zh-CN"/>
        </w:rPr>
      </w:pPr>
    </w:p>
    <w:p>
      <w:pPr>
        <w:rPr>
          <w:rFonts w:hint="eastAsia"/>
          <w:lang w:eastAsia="zh-CN"/>
        </w:rPr>
      </w:pPr>
    </w:p>
    <w:p>
      <w:pPr>
        <w:pStyle w:val="2"/>
        <w:rPr>
          <w:rFonts w:hint="eastAsia"/>
          <w:lang w:eastAsia="zh-CN"/>
        </w:rPr>
      </w:pPr>
    </w:p>
    <w:tbl>
      <w:tblPr>
        <w:tblStyle w:val="42"/>
        <w:tblW w:w="9090" w:type="dxa"/>
        <w:tblInd w:w="93" w:type="dxa"/>
        <w:tblLayout w:type="autofit"/>
        <w:tblCellMar>
          <w:top w:w="0" w:type="dxa"/>
          <w:left w:w="108" w:type="dxa"/>
          <w:bottom w:w="0" w:type="dxa"/>
          <w:right w:w="108" w:type="dxa"/>
        </w:tblCellMar>
      </w:tblPr>
      <w:tblGrid>
        <w:gridCol w:w="436"/>
        <w:gridCol w:w="1995"/>
        <w:gridCol w:w="1756"/>
        <w:gridCol w:w="1080"/>
        <w:gridCol w:w="1018"/>
        <w:gridCol w:w="1316"/>
        <w:gridCol w:w="1489"/>
      </w:tblGrid>
      <w:tr>
        <w:tblPrEx>
          <w:tblCellMar>
            <w:top w:w="0" w:type="dxa"/>
            <w:left w:w="108" w:type="dxa"/>
            <w:bottom w:w="0" w:type="dxa"/>
            <w:right w:w="108" w:type="dxa"/>
          </w:tblCellMar>
        </w:tblPrEx>
        <w:trPr>
          <w:trHeight w:val="600" w:hRule="atLeast"/>
        </w:trPr>
        <w:tc>
          <w:tcPr>
            <w:tcW w:w="9090" w:type="dxa"/>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报价表</w:t>
            </w:r>
          </w:p>
        </w:tc>
      </w:tr>
      <w:tr>
        <w:tblPrEx>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sz w:val="22"/>
                <w:szCs w:val="22"/>
              </w:rPr>
              <w:t>序号</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规格等级（泵送）</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数量(m3)(暂定)</w:t>
            </w:r>
          </w:p>
        </w:tc>
        <w:tc>
          <w:tcPr>
            <w:tcW w:w="1080"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税率</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单位</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备注</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单价(元/m3)</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w:t>
            </w:r>
          </w:p>
        </w:tc>
        <w:tc>
          <w:tcPr>
            <w:tcW w:w="19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C15</w:t>
            </w:r>
          </w:p>
        </w:tc>
        <w:tc>
          <w:tcPr>
            <w:tcW w:w="175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450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m3</w:t>
            </w:r>
          </w:p>
        </w:tc>
        <w:tc>
          <w:tcPr>
            <w:tcW w:w="131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宋体" w:hAnsi="宋体"/>
                <w:color w:val="000000"/>
                <w:sz w:val="22"/>
                <w:szCs w:val="22"/>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2</w:t>
            </w:r>
          </w:p>
        </w:tc>
        <w:tc>
          <w:tcPr>
            <w:tcW w:w="19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C20</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color w:val="000000"/>
                <w:sz w:val="22"/>
                <w:szCs w:val="22"/>
                <w:lang w:val="en-US" w:eastAsia="zh-CN"/>
              </w:rPr>
              <w:t>3900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color w:val="000000"/>
                <w:sz w:val="22"/>
                <w:szCs w:val="22"/>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3</w:t>
            </w:r>
          </w:p>
        </w:tc>
        <w:tc>
          <w:tcPr>
            <w:tcW w:w="19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C25</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194.5</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color w:val="000000"/>
                <w:sz w:val="22"/>
                <w:szCs w:val="22"/>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4</w:t>
            </w:r>
          </w:p>
        </w:tc>
        <w:tc>
          <w:tcPr>
            <w:tcW w:w="19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C30</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500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ascii="宋体" w:hAnsi="宋体"/>
                <w:color w:val="000000"/>
                <w:sz w:val="22"/>
                <w:szCs w:val="22"/>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5</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C35</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color w:val="000000"/>
                <w:sz w:val="22"/>
                <w:szCs w:val="22"/>
                <w:lang w:val="en-US" w:eastAsia="zh-CN"/>
              </w:rPr>
            </w:pPr>
            <w:r>
              <w:rPr>
                <w:rFonts w:hint="eastAsia" w:ascii="宋体" w:hAnsi="宋体"/>
                <w:color w:val="000000"/>
                <w:sz w:val="22"/>
                <w:szCs w:val="22"/>
                <w:lang w:val="en-US" w:eastAsia="zh-CN"/>
              </w:rPr>
              <w:t>700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6</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C40</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color w:val="000000"/>
                <w:sz w:val="22"/>
                <w:szCs w:val="22"/>
                <w:lang w:val="en-US" w:eastAsia="zh-CN"/>
              </w:rPr>
            </w:pPr>
            <w:r>
              <w:rPr>
                <w:rFonts w:hint="eastAsia" w:ascii="宋体" w:hAnsi="宋体"/>
                <w:color w:val="000000"/>
                <w:sz w:val="22"/>
                <w:szCs w:val="22"/>
                <w:lang w:val="en-US" w:eastAsia="zh-CN"/>
              </w:rPr>
              <w:t>700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left"/>
              <w:textAlignment w:val="center"/>
              <w:rPr>
                <w:rFonts w:hint="eastAsia" w:ascii="宋体" w:hAnsi="宋体" w:eastAsia="Times New Roman" w:cs="Times New Roman"/>
                <w:color w:val="000000"/>
                <w:sz w:val="22"/>
                <w:szCs w:val="22"/>
                <w:lang w:bidi="ar-SA"/>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eastAsia" w:ascii="宋体" w:hAnsi="宋体" w:eastAsia="宋体"/>
                <w:color w:val="000000"/>
                <w:sz w:val="22"/>
                <w:szCs w:val="22"/>
                <w:lang w:val="en-US" w:eastAsia="zh-CN"/>
              </w:rPr>
            </w:pPr>
            <w:r>
              <w:rPr>
                <w:rFonts w:hint="eastAsia" w:ascii="宋体" w:hAnsi="宋体" w:eastAsia="宋体"/>
                <w:color w:val="000000"/>
                <w:sz w:val="22"/>
                <w:szCs w:val="22"/>
                <w:lang w:val="en-US" w:eastAsia="zh-CN"/>
              </w:rPr>
              <w:t>7</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宋体" w:hAnsi="宋体" w:eastAsia="宋体"/>
                <w:color w:val="000000"/>
                <w:sz w:val="22"/>
                <w:szCs w:val="22"/>
                <w:lang w:eastAsia="zh-CN"/>
              </w:rPr>
            </w:pPr>
            <w:r>
              <w:rPr>
                <w:rFonts w:hint="eastAsia" w:ascii="宋体" w:hAnsi="宋体"/>
                <w:color w:val="000000"/>
                <w:sz w:val="22"/>
                <w:szCs w:val="22"/>
              </w:rPr>
              <w:t>C</w:t>
            </w:r>
            <w:r>
              <w:rPr>
                <w:rFonts w:hint="eastAsia" w:ascii="宋体" w:hAnsi="宋体"/>
                <w:color w:val="000000"/>
                <w:sz w:val="22"/>
                <w:szCs w:val="22"/>
                <w:lang w:val="en-US" w:eastAsia="zh-CN"/>
              </w:rPr>
              <w:t>2</w:t>
            </w:r>
            <w:r>
              <w:rPr>
                <w:rFonts w:hint="eastAsia" w:ascii="宋体" w:hAnsi="宋体"/>
                <w:color w:val="000000"/>
                <w:sz w:val="22"/>
                <w:szCs w:val="22"/>
              </w:rPr>
              <w:t>5</w:t>
            </w:r>
            <w:r>
              <w:rPr>
                <w:rFonts w:hint="eastAsia" w:ascii="宋体" w:hAnsi="宋体"/>
                <w:color w:val="000000"/>
                <w:sz w:val="22"/>
                <w:szCs w:val="22"/>
                <w:lang w:eastAsia="zh-CN"/>
              </w:rPr>
              <w:t>（</w:t>
            </w:r>
            <w:r>
              <w:rPr>
                <w:rFonts w:hint="eastAsia" w:ascii="宋体" w:hAnsi="宋体"/>
                <w:color w:val="000000"/>
                <w:sz w:val="22"/>
                <w:szCs w:val="22"/>
                <w:lang w:val="en-US" w:eastAsia="zh-CN"/>
              </w:rPr>
              <w:t>透水</w:t>
            </w:r>
            <w:r>
              <w:rPr>
                <w:rFonts w:hint="eastAsia" w:ascii="宋体" w:hAnsi="宋体"/>
                <w:color w:val="000000"/>
                <w:sz w:val="22"/>
                <w:szCs w:val="22"/>
                <w:lang w:eastAsia="zh-CN"/>
              </w:rPr>
              <w:t>）</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default" w:ascii="宋体" w:hAnsi="宋体" w:eastAsia="宋体"/>
                <w:color w:val="000000"/>
                <w:sz w:val="22"/>
                <w:szCs w:val="22"/>
                <w:lang w:val="en-US" w:eastAsia="zh-CN"/>
              </w:rPr>
            </w:pPr>
            <w:r>
              <w:rPr>
                <w:rFonts w:hint="eastAsia" w:ascii="宋体" w:hAnsi="宋体"/>
                <w:color w:val="000000"/>
                <w:sz w:val="22"/>
                <w:szCs w:val="22"/>
                <w:lang w:val="en-US" w:eastAsia="zh-CN"/>
              </w:rPr>
              <w:t>850</w:t>
            </w: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hint="eastAsia"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default" w:ascii="宋体" w:hAnsi="宋体" w:eastAsia="宋体"/>
                <w:color w:val="000000"/>
                <w:sz w:val="22"/>
                <w:szCs w:val="22"/>
                <w:lang w:val="en-US" w:eastAsia="zh-CN"/>
              </w:rPr>
            </w:pPr>
            <w:r>
              <w:rPr>
                <w:rFonts w:hint="eastAsia" w:ascii="宋体" w:hAnsi="宋体" w:eastAsia="宋体"/>
                <w:color w:val="000000"/>
                <w:sz w:val="22"/>
                <w:szCs w:val="22"/>
                <w:lang w:val="en-US" w:eastAsia="zh-CN"/>
              </w:rPr>
              <w:t>8</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color w:val="000000"/>
                <w:sz w:val="22"/>
                <w:szCs w:val="22"/>
              </w:rPr>
              <w:t>非泵送混凝土扣</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Times New Roman"/>
                <w:color w:val="000000"/>
                <w:sz w:val="22"/>
                <w:szCs w:val="22"/>
              </w:rPr>
            </w:pPr>
          </w:p>
        </w:tc>
        <w:tc>
          <w:tcPr>
            <w:tcW w:w="1080" w:type="dxa"/>
            <w:tcBorders>
              <w:top w:val="single" w:color="000000" w:sz="4" w:space="0"/>
              <w:left w:val="nil"/>
              <w:bottom w:val="single" w:color="000000" w:sz="4" w:space="0"/>
              <w:right w:val="single" w:color="000000" w:sz="4" w:space="0"/>
            </w:tcBorders>
            <w:vAlign w:val="center"/>
          </w:tcPr>
          <w:p>
            <w:pPr>
              <w:widowControl/>
              <w:jc w:val="right"/>
              <w:textAlignment w:val="center"/>
              <w:rPr>
                <w:rFonts w:ascii="宋体" w:hAnsi="宋体"/>
                <w:color w:val="000000"/>
                <w:sz w:val="22"/>
                <w:szCs w:val="22"/>
              </w:rPr>
            </w:pPr>
            <w:r>
              <w:rPr>
                <w:rFonts w:ascii="宋体" w:hAnsi="宋体"/>
                <w:color w:val="000000"/>
                <w:sz w:val="22"/>
                <w:szCs w:val="22"/>
              </w:rPr>
              <w:t>13%</w:t>
            </w:r>
          </w:p>
        </w:tc>
        <w:tc>
          <w:tcPr>
            <w:tcW w:w="1018"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ascii="宋体" w:hAnsi="宋体"/>
                <w:color w:val="000000"/>
                <w:sz w:val="22"/>
                <w:szCs w:val="22"/>
              </w:rPr>
              <w:t>m3</w:t>
            </w:r>
          </w:p>
        </w:tc>
        <w:tc>
          <w:tcPr>
            <w:tcW w:w="0" w:type="auto"/>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color w:val="000000"/>
                <w:sz w:val="22"/>
                <w:szCs w:val="22"/>
              </w:rPr>
              <w:t>报价含运距</w:t>
            </w:r>
          </w:p>
        </w:tc>
        <w:tc>
          <w:tcPr>
            <w:tcW w:w="0" w:type="auto"/>
            <w:tcBorders>
              <w:top w:val="single" w:color="000000" w:sz="4" w:space="0"/>
              <w:left w:val="nil"/>
              <w:bottom w:val="single" w:color="000000" w:sz="4" w:space="0"/>
              <w:right w:val="single" w:color="000000" w:sz="4" w:space="0"/>
            </w:tcBorders>
            <w:noWrap/>
            <w:vAlign w:val="center"/>
          </w:tcPr>
          <w:p>
            <w:pPr>
              <w:jc w:val="center"/>
              <w:rPr>
                <w:rFonts w:ascii="宋体" w:hAnsi="宋体"/>
                <w:color w:val="000000"/>
                <w:sz w:val="22"/>
                <w:szCs w:val="22"/>
              </w:rPr>
            </w:pPr>
          </w:p>
        </w:tc>
      </w:tr>
      <w:tr>
        <w:tblPrEx>
          <w:tblCellMar>
            <w:top w:w="0" w:type="dxa"/>
            <w:left w:w="108" w:type="dxa"/>
            <w:bottom w:w="0" w:type="dxa"/>
            <w:right w:w="108" w:type="dxa"/>
          </w:tblCellMar>
        </w:tblPrEx>
        <w:trPr>
          <w:trHeight w:val="600" w:hRule="atLeast"/>
        </w:trPr>
        <w:tc>
          <w:tcPr>
            <w:tcW w:w="0" w:type="auto"/>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olor w:val="000000"/>
                <w:sz w:val="22"/>
                <w:szCs w:val="22"/>
              </w:rPr>
            </w:pPr>
            <w:r>
              <w:rPr>
                <w:rFonts w:hint="eastAsia" w:ascii="宋体" w:hAnsi="宋体"/>
                <w:color w:val="000000"/>
                <w:sz w:val="22"/>
                <w:szCs w:val="22"/>
              </w:rPr>
              <w:t>备注：结算单价包含：装车、运输、货物、材质、送货资料等，提供13%增值税专用发票</w:t>
            </w:r>
          </w:p>
        </w:tc>
      </w:tr>
    </w:tbl>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rPr>
          <w:rFonts w:hint="eastAsia"/>
          <w:lang w:eastAsia="zh-CN"/>
        </w:rPr>
      </w:pPr>
    </w:p>
    <w:p>
      <w:pPr>
        <w:numPr>
          <w:ilvl w:val="0"/>
          <w:numId w:val="1"/>
        </w:numPr>
        <w:spacing w:before="240" w:beforeLines="0" w:after="480" w:afterLines="0" w:line="500" w:lineRule="exact"/>
        <w:ind w:left="0" w:leftChars="0" w:firstLine="0" w:firstLineChars="0"/>
        <w:jc w:val="center"/>
        <w:rPr>
          <w:rFonts w:hint="eastAsia"/>
        </w:rPr>
      </w:pPr>
      <w:r>
        <w:rPr>
          <w:rFonts w:hint="eastAsia" w:ascii="宋体" w:hAnsi="宋体" w:eastAsia="宋体" w:cs="宋体"/>
          <w:b/>
          <w:sz w:val="32"/>
          <w:szCs w:val="32"/>
        </w:rPr>
        <w:t>投标人一般情况表</w:t>
      </w:r>
    </w:p>
    <w:p>
      <w:pPr>
        <w:pStyle w:val="2"/>
        <w:rPr>
          <w:rFonts w:hint="eastAsia"/>
        </w:rPr>
      </w:pP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9"/>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10"/>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2、企业资质证书复印件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3、基本账户复印件</w:t>
      </w:r>
    </w:p>
    <w:p>
      <w:pPr>
        <w:ind w:firstLine="320" w:firstLineChars="100"/>
        <w:rPr>
          <w:rFonts w:hint="default"/>
          <w:lang w:val="en-US" w:eastAsia="zh-CN"/>
        </w:rPr>
      </w:pPr>
      <w:r>
        <w:rPr>
          <w:rFonts w:hint="eastAsia" w:asciiTheme="minorEastAsia" w:hAnsiTheme="minorEastAsia" w:eastAsiaTheme="minorEastAsia" w:cstheme="minorEastAsia"/>
          <w:b w:val="0"/>
          <w:bCs w:val="0"/>
          <w:sz w:val="32"/>
          <w:szCs w:val="32"/>
          <w:lang w:val="en-US" w:eastAsia="zh-CN"/>
        </w:rPr>
        <w:t>4、</w:t>
      </w:r>
      <w:r>
        <w:rPr>
          <w:rFonts w:hint="eastAsia" w:ascii="宋体" w:hAnsi="宋体" w:eastAsia="宋体" w:cs="宋体"/>
          <w:sz w:val="32"/>
          <w:szCs w:val="32"/>
          <w:lang w:val="en-US" w:eastAsia="zh-CN"/>
        </w:rPr>
        <w:t>前期垫资混凝土货款的承诺函</w:t>
      </w:r>
      <w:r>
        <w:rPr>
          <w:rFonts w:hint="eastAsia" w:asciiTheme="minorEastAsia" w:hAnsiTheme="minorEastAsia" w:eastAsiaTheme="minorEastAsia" w:cstheme="minorEastAsia"/>
          <w:b w:val="0"/>
          <w:bCs w:val="0"/>
          <w:sz w:val="32"/>
          <w:szCs w:val="32"/>
          <w:lang w:val="en-US" w:eastAsia="zh-CN"/>
        </w:rPr>
        <w:t>（格式自理）</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r>
        <w:rPr>
          <w:rFonts w:hint="eastAsia"/>
          <w:lang w:val="en-US" w:eastAsia="zh-CN"/>
        </w:rPr>
        <w:t>附件：控制价</w:t>
      </w:r>
    </w:p>
    <w:p>
      <w:pPr>
        <w:rPr>
          <w:rFonts w:hint="default"/>
          <w:lang w:val="en-US" w:eastAsia="zh-CN"/>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954"/>
        <w:gridCol w:w="1519"/>
        <w:gridCol w:w="1085"/>
        <w:gridCol w:w="1155"/>
        <w:gridCol w:w="1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24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规格等级（泵送）</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数量（暂定）</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控制单价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C15</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172800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C20</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1536600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78578</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C30</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207000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C35</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296800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C40</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304500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C25（透水）</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403750</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含13%增值税及运距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3000028</w:t>
            </w:r>
          </w:p>
        </w:tc>
        <w:tc>
          <w:tcPr>
            <w:tcW w:w="1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7A5ABE-F1C2-4AC1-84F2-981C99CB572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3B08552-6D37-4DE4-B2F3-729E4174DF6D}"/>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922E085-7842-4C42-A8F8-A18AA3A775E5}"/>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7A57685C-F355-4438-A574-545767DC8D9D}"/>
  </w:font>
  <w:font w:name="Wingdings 2">
    <w:panose1 w:val="05020102010507070707"/>
    <w:charset w:val="02"/>
    <w:family w:val="auto"/>
    <w:pitch w:val="default"/>
    <w:sig w:usb0="00000000" w:usb1="00000000" w:usb2="00000000" w:usb3="00000000" w:csb0="80000000" w:csb1="00000000"/>
    <w:embedRegular r:id="rId5" w:fontKey="{FE646CCD-358F-439C-9A16-8D7BFA424D9F}"/>
  </w:font>
  <w:font w:name="仿宋">
    <w:panose1 w:val="02010609060101010101"/>
    <w:charset w:val="86"/>
    <w:family w:val="auto"/>
    <w:pitch w:val="default"/>
    <w:sig w:usb0="800002BF" w:usb1="38CF7CFA" w:usb2="00000016" w:usb3="00000000" w:csb0="00040001" w:csb1="00000000"/>
    <w:embedRegular r:id="rId6" w:fontKey="{79FC0747-04C7-45B2-8AB5-1215D6688617}"/>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C410C554"/>
    <w:multiLevelType w:val="singleLevel"/>
    <w:tmpl w:val="C410C554"/>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38509D5B"/>
    <w:multiLevelType w:val="singleLevel"/>
    <w:tmpl w:val="38509D5B"/>
    <w:lvl w:ilvl="0" w:tentative="0">
      <w:start w:val="1"/>
      <w:numFmt w:val="decimal"/>
      <w:suff w:val="space"/>
      <w:lvlText w:val="%1."/>
      <w:lvlJc w:val="left"/>
    </w:lvl>
  </w:abstractNum>
  <w:abstractNum w:abstractNumId="9">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1"/>
  </w:num>
  <w:num w:numId="4">
    <w:abstractNumId w:val="9"/>
  </w:num>
  <w:num w:numId="5">
    <w:abstractNumId w:val="5"/>
  </w:num>
  <w:num w:numId="6">
    <w:abstractNumId w:val="4"/>
  </w:num>
  <w:num w:numId="7">
    <w:abstractNumId w:val="7"/>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3B637E"/>
    <w:rsid w:val="025B539F"/>
    <w:rsid w:val="025C6578"/>
    <w:rsid w:val="02C65EDA"/>
    <w:rsid w:val="0353557F"/>
    <w:rsid w:val="038F1724"/>
    <w:rsid w:val="03C70711"/>
    <w:rsid w:val="043D60CC"/>
    <w:rsid w:val="045262AF"/>
    <w:rsid w:val="04685C0F"/>
    <w:rsid w:val="04E150B9"/>
    <w:rsid w:val="058F76A9"/>
    <w:rsid w:val="0644168A"/>
    <w:rsid w:val="065C6392"/>
    <w:rsid w:val="065C7A1D"/>
    <w:rsid w:val="06BC2E1B"/>
    <w:rsid w:val="0737309F"/>
    <w:rsid w:val="07B635C9"/>
    <w:rsid w:val="07CD1375"/>
    <w:rsid w:val="08017B21"/>
    <w:rsid w:val="08514B8D"/>
    <w:rsid w:val="08C640F8"/>
    <w:rsid w:val="09030699"/>
    <w:rsid w:val="096D52D2"/>
    <w:rsid w:val="09815E0C"/>
    <w:rsid w:val="09887C5F"/>
    <w:rsid w:val="09A70C71"/>
    <w:rsid w:val="0A051F93"/>
    <w:rsid w:val="0A36560E"/>
    <w:rsid w:val="0A527310"/>
    <w:rsid w:val="0A8729A8"/>
    <w:rsid w:val="0AA7399A"/>
    <w:rsid w:val="0B207C60"/>
    <w:rsid w:val="0C7845D5"/>
    <w:rsid w:val="0C8D24D0"/>
    <w:rsid w:val="0DC3667D"/>
    <w:rsid w:val="0DD360E4"/>
    <w:rsid w:val="0EA726DD"/>
    <w:rsid w:val="0F5840E0"/>
    <w:rsid w:val="0FCE6636"/>
    <w:rsid w:val="0FE17CA4"/>
    <w:rsid w:val="0FFA3067"/>
    <w:rsid w:val="10101691"/>
    <w:rsid w:val="11540953"/>
    <w:rsid w:val="117D753F"/>
    <w:rsid w:val="11B979C0"/>
    <w:rsid w:val="11C5043F"/>
    <w:rsid w:val="11D05E7E"/>
    <w:rsid w:val="11DD4FBA"/>
    <w:rsid w:val="12032D4C"/>
    <w:rsid w:val="1298380F"/>
    <w:rsid w:val="129C6CE6"/>
    <w:rsid w:val="14C74196"/>
    <w:rsid w:val="1506057B"/>
    <w:rsid w:val="15CB2EAC"/>
    <w:rsid w:val="1605006D"/>
    <w:rsid w:val="16954965"/>
    <w:rsid w:val="16BB23DA"/>
    <w:rsid w:val="173C6396"/>
    <w:rsid w:val="18005C93"/>
    <w:rsid w:val="19181CAB"/>
    <w:rsid w:val="194239A5"/>
    <w:rsid w:val="19667165"/>
    <w:rsid w:val="19AA4083"/>
    <w:rsid w:val="1A7E28C3"/>
    <w:rsid w:val="1A9E3253"/>
    <w:rsid w:val="1AEE0EEF"/>
    <w:rsid w:val="1BC25A57"/>
    <w:rsid w:val="1C2905D9"/>
    <w:rsid w:val="1C7C5B27"/>
    <w:rsid w:val="1CAE2911"/>
    <w:rsid w:val="1CEC7CF0"/>
    <w:rsid w:val="1DC1221D"/>
    <w:rsid w:val="1E2A1B70"/>
    <w:rsid w:val="1E633EC0"/>
    <w:rsid w:val="1E7B23CC"/>
    <w:rsid w:val="1E845A30"/>
    <w:rsid w:val="1EBC079F"/>
    <w:rsid w:val="1F074516"/>
    <w:rsid w:val="1F6B3CB9"/>
    <w:rsid w:val="1F757D50"/>
    <w:rsid w:val="1FDC1A61"/>
    <w:rsid w:val="202F399B"/>
    <w:rsid w:val="20B11D22"/>
    <w:rsid w:val="21163FA1"/>
    <w:rsid w:val="212073F8"/>
    <w:rsid w:val="213C2F0F"/>
    <w:rsid w:val="21512370"/>
    <w:rsid w:val="225713E5"/>
    <w:rsid w:val="22ED3308"/>
    <w:rsid w:val="233B3CA0"/>
    <w:rsid w:val="23923F3A"/>
    <w:rsid w:val="23B27078"/>
    <w:rsid w:val="245D570E"/>
    <w:rsid w:val="257912FA"/>
    <w:rsid w:val="25DC5FA2"/>
    <w:rsid w:val="269A4A2E"/>
    <w:rsid w:val="26C03072"/>
    <w:rsid w:val="26D02619"/>
    <w:rsid w:val="26E60319"/>
    <w:rsid w:val="275D01BF"/>
    <w:rsid w:val="278A65AC"/>
    <w:rsid w:val="27D45E99"/>
    <w:rsid w:val="27EF3454"/>
    <w:rsid w:val="28030FCC"/>
    <w:rsid w:val="2812532E"/>
    <w:rsid w:val="28225715"/>
    <w:rsid w:val="2825219C"/>
    <w:rsid w:val="28EF0C2A"/>
    <w:rsid w:val="2910697B"/>
    <w:rsid w:val="29565AC1"/>
    <w:rsid w:val="29BB284D"/>
    <w:rsid w:val="29C9798D"/>
    <w:rsid w:val="29EB65EB"/>
    <w:rsid w:val="29EF0AA3"/>
    <w:rsid w:val="2AD665EE"/>
    <w:rsid w:val="2AE241BF"/>
    <w:rsid w:val="2B435EC3"/>
    <w:rsid w:val="2C067E81"/>
    <w:rsid w:val="2C973B79"/>
    <w:rsid w:val="2D030AE6"/>
    <w:rsid w:val="2EF967AD"/>
    <w:rsid w:val="2F0D7245"/>
    <w:rsid w:val="2F1E3F9D"/>
    <w:rsid w:val="2F7549E3"/>
    <w:rsid w:val="2FA05E71"/>
    <w:rsid w:val="2FDB1854"/>
    <w:rsid w:val="30A0408F"/>
    <w:rsid w:val="30B47766"/>
    <w:rsid w:val="312F15F9"/>
    <w:rsid w:val="31D8371B"/>
    <w:rsid w:val="329C70A3"/>
    <w:rsid w:val="32D21971"/>
    <w:rsid w:val="330F7774"/>
    <w:rsid w:val="334A32AB"/>
    <w:rsid w:val="335637F5"/>
    <w:rsid w:val="33811C82"/>
    <w:rsid w:val="339430F0"/>
    <w:rsid w:val="33A107AE"/>
    <w:rsid w:val="33F86624"/>
    <w:rsid w:val="356F1790"/>
    <w:rsid w:val="35B33F01"/>
    <w:rsid w:val="360A7945"/>
    <w:rsid w:val="367019CA"/>
    <w:rsid w:val="37C16E80"/>
    <w:rsid w:val="38253EBC"/>
    <w:rsid w:val="38800888"/>
    <w:rsid w:val="389C03BD"/>
    <w:rsid w:val="39D97D59"/>
    <w:rsid w:val="3A0B6C49"/>
    <w:rsid w:val="3A350E77"/>
    <w:rsid w:val="3A83183F"/>
    <w:rsid w:val="3B034672"/>
    <w:rsid w:val="3B806E1C"/>
    <w:rsid w:val="3BD02B46"/>
    <w:rsid w:val="3C522566"/>
    <w:rsid w:val="3CB1082D"/>
    <w:rsid w:val="3D0A329B"/>
    <w:rsid w:val="3D141F11"/>
    <w:rsid w:val="3D214E10"/>
    <w:rsid w:val="3EF47E87"/>
    <w:rsid w:val="3EFF47FC"/>
    <w:rsid w:val="3F380FAB"/>
    <w:rsid w:val="3F7706C0"/>
    <w:rsid w:val="3FB61D1E"/>
    <w:rsid w:val="3FF46061"/>
    <w:rsid w:val="4037522A"/>
    <w:rsid w:val="40CE5F26"/>
    <w:rsid w:val="40E87269"/>
    <w:rsid w:val="412D3E26"/>
    <w:rsid w:val="41A63F34"/>
    <w:rsid w:val="436C5E2D"/>
    <w:rsid w:val="437E6A5B"/>
    <w:rsid w:val="43AF585B"/>
    <w:rsid w:val="442067EF"/>
    <w:rsid w:val="44233468"/>
    <w:rsid w:val="447060BF"/>
    <w:rsid w:val="45607BB1"/>
    <w:rsid w:val="45B927DD"/>
    <w:rsid w:val="45CB4380"/>
    <w:rsid w:val="4643113E"/>
    <w:rsid w:val="469F0A9E"/>
    <w:rsid w:val="46BA36E0"/>
    <w:rsid w:val="47827AE0"/>
    <w:rsid w:val="4805206A"/>
    <w:rsid w:val="48CF5C36"/>
    <w:rsid w:val="49F75108"/>
    <w:rsid w:val="4A621CD0"/>
    <w:rsid w:val="4AD16791"/>
    <w:rsid w:val="4B0768D2"/>
    <w:rsid w:val="4B0A3A73"/>
    <w:rsid w:val="4B1C0CA8"/>
    <w:rsid w:val="4B5B288F"/>
    <w:rsid w:val="4B5C6F5D"/>
    <w:rsid w:val="4BE66994"/>
    <w:rsid w:val="4C0250F8"/>
    <w:rsid w:val="4C0E1C7B"/>
    <w:rsid w:val="4C3363A1"/>
    <w:rsid w:val="4C556E4C"/>
    <w:rsid w:val="4C9A3F50"/>
    <w:rsid w:val="4CA143B6"/>
    <w:rsid w:val="4CD57624"/>
    <w:rsid w:val="4D0337BF"/>
    <w:rsid w:val="4D492011"/>
    <w:rsid w:val="4D563963"/>
    <w:rsid w:val="4D6F005D"/>
    <w:rsid w:val="4DC4669F"/>
    <w:rsid w:val="4DC95A8B"/>
    <w:rsid w:val="4DD359C4"/>
    <w:rsid w:val="4EA909ED"/>
    <w:rsid w:val="4EAD42C0"/>
    <w:rsid w:val="4F6A3135"/>
    <w:rsid w:val="4F7D6943"/>
    <w:rsid w:val="4F806125"/>
    <w:rsid w:val="4FC90AF6"/>
    <w:rsid w:val="4FF47B65"/>
    <w:rsid w:val="4FF71CFC"/>
    <w:rsid w:val="500D4DCD"/>
    <w:rsid w:val="508514D6"/>
    <w:rsid w:val="50DC0239"/>
    <w:rsid w:val="50F14121"/>
    <w:rsid w:val="51231DF2"/>
    <w:rsid w:val="51AE71F6"/>
    <w:rsid w:val="51D72CB1"/>
    <w:rsid w:val="529657D0"/>
    <w:rsid w:val="52D30F0B"/>
    <w:rsid w:val="53350847"/>
    <w:rsid w:val="541F02D1"/>
    <w:rsid w:val="5432541E"/>
    <w:rsid w:val="545B495D"/>
    <w:rsid w:val="54BE1E3F"/>
    <w:rsid w:val="54CC3A0C"/>
    <w:rsid w:val="54D658C5"/>
    <w:rsid w:val="555302BE"/>
    <w:rsid w:val="56D3497A"/>
    <w:rsid w:val="56EB61C5"/>
    <w:rsid w:val="571E57DC"/>
    <w:rsid w:val="5752344C"/>
    <w:rsid w:val="577D2021"/>
    <w:rsid w:val="578B5A25"/>
    <w:rsid w:val="57DC1D1C"/>
    <w:rsid w:val="58594DCC"/>
    <w:rsid w:val="58711B6E"/>
    <w:rsid w:val="58DB426C"/>
    <w:rsid w:val="58E1190D"/>
    <w:rsid w:val="58E4330E"/>
    <w:rsid w:val="58FF2585"/>
    <w:rsid w:val="592B5E3D"/>
    <w:rsid w:val="59A97119"/>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EE63287"/>
    <w:rsid w:val="5F633D97"/>
    <w:rsid w:val="5F794FD8"/>
    <w:rsid w:val="5F9863B3"/>
    <w:rsid w:val="5FC2426F"/>
    <w:rsid w:val="5FC755A0"/>
    <w:rsid w:val="5FEB21EB"/>
    <w:rsid w:val="604D3E80"/>
    <w:rsid w:val="60807933"/>
    <w:rsid w:val="60B40B05"/>
    <w:rsid w:val="611E4F49"/>
    <w:rsid w:val="61DA1914"/>
    <w:rsid w:val="61DD5DF0"/>
    <w:rsid w:val="621E18D8"/>
    <w:rsid w:val="6252752E"/>
    <w:rsid w:val="62592108"/>
    <w:rsid w:val="627A50C0"/>
    <w:rsid w:val="62CE653B"/>
    <w:rsid w:val="63126C60"/>
    <w:rsid w:val="632B7B03"/>
    <w:rsid w:val="633F5689"/>
    <w:rsid w:val="64633954"/>
    <w:rsid w:val="64747F00"/>
    <w:rsid w:val="65260ECE"/>
    <w:rsid w:val="65622887"/>
    <w:rsid w:val="66DF07B8"/>
    <w:rsid w:val="671C07A9"/>
    <w:rsid w:val="67421BF9"/>
    <w:rsid w:val="67797EE9"/>
    <w:rsid w:val="67900263"/>
    <w:rsid w:val="682D6DC6"/>
    <w:rsid w:val="691B1349"/>
    <w:rsid w:val="69934A52"/>
    <w:rsid w:val="69E10F81"/>
    <w:rsid w:val="6A4C602D"/>
    <w:rsid w:val="6A5B2FB7"/>
    <w:rsid w:val="6A823CEC"/>
    <w:rsid w:val="6B1306D6"/>
    <w:rsid w:val="6B282026"/>
    <w:rsid w:val="6B4F1E6C"/>
    <w:rsid w:val="6BA16DE0"/>
    <w:rsid w:val="6C021353"/>
    <w:rsid w:val="6C195B2B"/>
    <w:rsid w:val="6C2A77FD"/>
    <w:rsid w:val="6C2B259B"/>
    <w:rsid w:val="6C3E2EE3"/>
    <w:rsid w:val="6CC2052E"/>
    <w:rsid w:val="6CD7098F"/>
    <w:rsid w:val="6CFB485A"/>
    <w:rsid w:val="6D1861A7"/>
    <w:rsid w:val="6DBF0F93"/>
    <w:rsid w:val="6E32177C"/>
    <w:rsid w:val="6E5339CF"/>
    <w:rsid w:val="6EDA72EF"/>
    <w:rsid w:val="6F920654"/>
    <w:rsid w:val="6FBC0729"/>
    <w:rsid w:val="6FFA48E0"/>
    <w:rsid w:val="701B06CF"/>
    <w:rsid w:val="704049C6"/>
    <w:rsid w:val="706A7393"/>
    <w:rsid w:val="7109160D"/>
    <w:rsid w:val="71525EA2"/>
    <w:rsid w:val="71560BFE"/>
    <w:rsid w:val="715C163A"/>
    <w:rsid w:val="717A7AEC"/>
    <w:rsid w:val="71C81F40"/>
    <w:rsid w:val="72103F6C"/>
    <w:rsid w:val="721065DD"/>
    <w:rsid w:val="726374E1"/>
    <w:rsid w:val="7285482C"/>
    <w:rsid w:val="735E6C99"/>
    <w:rsid w:val="73696082"/>
    <w:rsid w:val="739419D4"/>
    <w:rsid w:val="73FF7E83"/>
    <w:rsid w:val="7478091A"/>
    <w:rsid w:val="754B3A1B"/>
    <w:rsid w:val="75796B20"/>
    <w:rsid w:val="759210D0"/>
    <w:rsid w:val="759F5B15"/>
    <w:rsid w:val="75C86701"/>
    <w:rsid w:val="75FC4E22"/>
    <w:rsid w:val="76065718"/>
    <w:rsid w:val="76EA2BA7"/>
    <w:rsid w:val="773436D4"/>
    <w:rsid w:val="77E20418"/>
    <w:rsid w:val="78041D69"/>
    <w:rsid w:val="78833EFA"/>
    <w:rsid w:val="78EC531C"/>
    <w:rsid w:val="790F2350"/>
    <w:rsid w:val="79BA116F"/>
    <w:rsid w:val="79EE0C57"/>
    <w:rsid w:val="79F86622"/>
    <w:rsid w:val="7A112136"/>
    <w:rsid w:val="7A956099"/>
    <w:rsid w:val="7B497C36"/>
    <w:rsid w:val="7B6503BE"/>
    <w:rsid w:val="7B7870BD"/>
    <w:rsid w:val="7C1E2A06"/>
    <w:rsid w:val="7C520487"/>
    <w:rsid w:val="7D233B80"/>
    <w:rsid w:val="7D845FBE"/>
    <w:rsid w:val="7E0E1C67"/>
    <w:rsid w:val="7E326AEE"/>
    <w:rsid w:val="7EA22D23"/>
    <w:rsid w:val="7EEF0F1E"/>
    <w:rsid w:val="7EFB055C"/>
    <w:rsid w:val="7F0561F0"/>
    <w:rsid w:val="7F0943AC"/>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18</Pages>
  <Words>4522</Words>
  <Characters>4972</Characters>
  <Lines>164</Lines>
  <Paragraphs>46</Paragraphs>
  <TotalTime>2</TotalTime>
  <ScaleCrop>false</ScaleCrop>
  <LinksUpToDate>false</LinksUpToDate>
  <CharactersWithSpaces>6203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2023-07-27T01:26:00Z</cp:lastPrinted>
  <dcterms:modified xsi:type="dcterms:W3CDTF">2023-08-01T08:05:16Z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B155E54980C2478EB07DABBFE65B258F_13</vt:lpwstr>
  </property>
</Properties>
</file>