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hAnsi="宋体" w:eastAsia="华文中宋" w:cs="宋体"/>
          <w:b w:val="0"/>
          <w:bCs/>
          <w:color w:val="auto"/>
          <w:spacing w:val="37"/>
          <w:sz w:val="36"/>
          <w:szCs w:val="36"/>
          <w:lang w:val="en-US" w:eastAsia="zh-CN"/>
        </w:rPr>
      </w:pPr>
      <w:r>
        <w:rPr>
          <w:rFonts w:hint="eastAsia" w:hAnsi="宋体" w:eastAsia="华文中宋" w:cs="宋体"/>
          <w:b w:val="0"/>
          <w:bCs/>
          <w:color w:val="auto"/>
          <w:spacing w:val="37"/>
          <w:sz w:val="36"/>
          <w:szCs w:val="36"/>
          <w:lang w:eastAsia="zh-CN"/>
        </w:rPr>
        <w:t>安徽省宁国市年产10万吨畜禽产品冷链加工配送项目一期建设工程门窗工程制作安装工程</w:t>
      </w:r>
    </w:p>
    <w:p>
      <w:pPr>
        <w:spacing w:line="360" w:lineRule="auto"/>
        <w:ind w:firstLine="2108" w:firstLineChars="700"/>
        <w:jc w:val="both"/>
        <w:rPr>
          <w:rFonts w:hint="default"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项目编号：AHJT-2023-07-003</w:t>
      </w:r>
    </w:p>
    <w:p>
      <w:pPr>
        <w:pStyle w:val="2"/>
        <w:rPr>
          <w:rFonts w:hint="eastAsia"/>
          <w:lang w:eastAsia="zh-CN"/>
        </w:rPr>
      </w:pPr>
    </w:p>
    <w:p>
      <w:pPr>
        <w:rPr>
          <w:rFonts w:hint="eastAsia"/>
          <w:lang w:eastAsia="zh-CN"/>
        </w:rPr>
      </w:pPr>
    </w:p>
    <w:p>
      <w:pPr>
        <w:rPr>
          <w:rFonts w:hint="eastAsia"/>
          <w:lang w:eastAsia="zh-CN"/>
        </w:rPr>
      </w:pPr>
    </w:p>
    <w:p>
      <w:pPr>
        <w:spacing w:line="360" w:lineRule="auto"/>
        <w:jc w:val="center"/>
        <w:rPr>
          <w:rFonts w:hint="eastAsia" w:ascii="宋体" w:hAnsi="宋体" w:eastAsia="宋体" w:cs="宋体"/>
          <w:b/>
          <w:color w:val="000000"/>
          <w:sz w:val="52"/>
          <w:szCs w:val="52"/>
          <w:lang w:eastAsia="zh-CN"/>
        </w:rPr>
      </w:pPr>
      <w:r>
        <w:rPr>
          <w:rFonts w:hint="eastAsia" w:ascii="宋体" w:hAnsi="宋体" w:eastAsia="宋体" w:cs="宋体"/>
          <w:b/>
          <w:color w:val="000000"/>
          <w:sz w:val="52"/>
          <w:szCs w:val="52"/>
          <w:lang w:eastAsia="zh-CN"/>
        </w:rPr>
        <w:t>发</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包</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文</w:t>
      </w:r>
    </w:p>
    <w:p>
      <w:pPr>
        <w:spacing w:line="360" w:lineRule="auto"/>
        <w:jc w:val="center"/>
        <w:rPr>
          <w:rFonts w:hint="eastAsia" w:ascii="仿宋_GB2312" w:eastAsia="仿宋_GB2312"/>
          <w:b/>
          <w:color w:val="000000"/>
          <w:sz w:val="52"/>
          <w:szCs w:val="52"/>
          <w:lang w:val="en-US" w:eastAsia="zh-CN"/>
        </w:rPr>
      </w:pPr>
      <w:r>
        <w:rPr>
          <w:rFonts w:hint="eastAsia" w:ascii="宋体" w:hAnsi="宋体" w:eastAsia="宋体" w:cs="宋体"/>
          <w:b/>
          <w:color w:val="000000"/>
          <w:sz w:val="52"/>
          <w:szCs w:val="52"/>
          <w:lang w:val="en-US" w:eastAsia="zh-CN"/>
        </w:rPr>
        <w:t>件</w:t>
      </w: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spacing w:line="360" w:lineRule="auto"/>
        <w:ind w:firstLine="280" w:firstLineChars="100"/>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招标人：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eastAsia="zh-CN"/>
        </w:rPr>
        <w:t>安徽津腾建设工程有限公司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spacing w:line="360" w:lineRule="auto"/>
        <w:ind w:firstLine="280" w:firstLineChars="1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编制时间：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2023年07月11日</w:t>
      </w:r>
      <w:r>
        <w:rPr>
          <w:rFonts w:hint="eastAsia" w:ascii="宋体" w:hAnsi="宋体" w:eastAsia="宋体" w:cs="宋体"/>
          <w:color w:val="000000"/>
          <w:sz w:val="28"/>
          <w:szCs w:val="28"/>
          <w:u w:val="single"/>
        </w:rPr>
        <w:t xml:space="preserve">              </w:t>
      </w:r>
    </w:p>
    <w:p>
      <w:pPr>
        <w:pStyle w:val="2"/>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pStyle w:val="2"/>
        <w:rPr>
          <w:rFonts w:hint="eastAsia"/>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numPr>
          <w:ilvl w:val="0"/>
          <w:numId w:val="1"/>
        </w:numPr>
        <w:rPr>
          <w:rFonts w:hint="eastAsia"/>
          <w:b/>
          <w:bCs/>
          <w:sz w:val="32"/>
          <w:szCs w:val="32"/>
        </w:rPr>
      </w:pPr>
      <w:r>
        <w:rPr>
          <w:rFonts w:hint="eastAsia"/>
          <w:b/>
          <w:bCs/>
          <w:sz w:val="32"/>
          <w:szCs w:val="32"/>
        </w:rPr>
        <w:t>招标公告</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投标人须知</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投标文件的组成</w:t>
      </w:r>
    </w:p>
    <w:p>
      <w:pPr>
        <w:numPr>
          <w:ilvl w:val="0"/>
          <w:numId w:val="1"/>
        </w:numPr>
        <w:ind w:left="0" w:leftChars="0" w:firstLine="0" w:firstLineChars="0"/>
        <w:rPr>
          <w:rFonts w:hint="eastAsia" w:ascii="宋体" w:eastAsia="宋体"/>
          <w:b/>
          <w:bCs/>
          <w:sz w:val="32"/>
          <w:szCs w:val="32"/>
        </w:rPr>
      </w:pPr>
      <w:r>
        <w:rPr>
          <w:rFonts w:hint="eastAsia" w:ascii="宋体" w:eastAsia="宋体"/>
          <w:b/>
          <w:bCs/>
          <w:sz w:val="32"/>
          <w:szCs w:val="32"/>
        </w:rPr>
        <w:t>评标办法</w:t>
      </w:r>
    </w:p>
    <w:p>
      <w:pPr>
        <w:numPr>
          <w:ilvl w:val="0"/>
          <w:numId w:val="0"/>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lang w:val="en-US" w:eastAsia="zh-CN"/>
        </w:rPr>
        <w:t>五</w:t>
      </w:r>
      <w:r>
        <w:rPr>
          <w:rFonts w:hint="eastAsia" w:ascii="宋体" w:hAnsi="Calibri" w:eastAsia="宋体" w:cs="Times New Roman"/>
          <w:b/>
          <w:bCs/>
          <w:sz w:val="32"/>
          <w:szCs w:val="32"/>
          <w:lang w:eastAsia="zh-CN"/>
        </w:rPr>
        <w:t>、</w:t>
      </w:r>
      <w:r>
        <w:rPr>
          <w:rFonts w:hint="eastAsia" w:ascii="宋体" w:hAnsi="Calibri" w:eastAsia="宋体" w:cs="Times New Roman"/>
          <w:b/>
          <w:bCs/>
          <w:sz w:val="32"/>
          <w:szCs w:val="32"/>
        </w:rPr>
        <w:t>投标文件格式</w:t>
      </w: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lang w:val="en-US" w:eastAsia="zh-CN"/>
        </w:rPr>
      </w:pPr>
    </w:p>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1820" w:leftChars="266" w:hanging="1182" w:hangingChars="300"/>
        <w:jc w:val="both"/>
        <w:textAlignment w:val="auto"/>
        <w:rPr>
          <w:rFonts w:hint="eastAsia" w:ascii="Times New Roman" w:hAnsi="宋体" w:eastAsia="华文中宋" w:cs="宋体"/>
          <w:b w:val="0"/>
          <w:bCs/>
          <w:color w:val="auto"/>
          <w:spacing w:val="37"/>
          <w:sz w:val="32"/>
          <w:szCs w:val="32"/>
          <w:lang w:eastAsia="zh-CN"/>
        </w:rPr>
      </w:pPr>
      <w:bookmarkStart w:id="0" w:name="_Toc152042290"/>
      <w:bookmarkStart w:id="1" w:name="_Toc247085674"/>
      <w:bookmarkStart w:id="2" w:name="_Toc179632530"/>
      <w:bookmarkStart w:id="3" w:name="_Toc152045514"/>
      <w:bookmarkStart w:id="4" w:name="_Toc246996160"/>
      <w:bookmarkStart w:id="5" w:name="_Toc246996903"/>
      <w:bookmarkStart w:id="6" w:name="_Toc329851755"/>
      <w:bookmarkStart w:id="7" w:name="_Toc144974482"/>
      <w:r>
        <w:rPr>
          <w:rFonts w:hint="eastAsia" w:ascii="Times New Roman" w:hAnsi="宋体" w:eastAsia="华文中宋" w:cs="宋体"/>
          <w:b w:val="0"/>
          <w:bCs/>
          <w:color w:val="auto"/>
          <w:spacing w:val="37"/>
          <w:sz w:val="32"/>
          <w:szCs w:val="32"/>
          <w:lang w:eastAsia="zh-CN"/>
        </w:rPr>
        <w:t>安徽省宁国市年产10万吨畜禽产品冷链加工配送项目</w:t>
      </w:r>
      <w:r>
        <w:rPr>
          <w:rFonts w:hint="eastAsia" w:ascii="Times New Roman" w:hAnsi="宋体" w:eastAsia="华文中宋" w:cs="宋体"/>
          <w:b w:val="0"/>
          <w:bCs/>
          <w:color w:val="auto"/>
          <w:spacing w:val="37"/>
          <w:sz w:val="32"/>
          <w:szCs w:val="32"/>
          <w:lang w:val="en-US" w:eastAsia="zh-CN"/>
        </w:rPr>
        <w:t xml:space="preserve"> </w:t>
      </w:r>
      <w:r>
        <w:rPr>
          <w:rFonts w:hint="eastAsia" w:ascii="Times New Roman" w:hAnsi="宋体" w:eastAsia="华文中宋" w:cs="宋体"/>
          <w:b w:val="0"/>
          <w:bCs/>
          <w:color w:val="auto"/>
          <w:spacing w:val="37"/>
          <w:sz w:val="32"/>
          <w:szCs w:val="32"/>
          <w:lang w:eastAsia="zh-CN"/>
        </w:rPr>
        <w:t>一期建设工程门窗工程制作安装工程</w:t>
      </w:r>
    </w:p>
    <w:p>
      <w:pPr>
        <w:ind w:firstLine="4340" w:firstLineChars="1000"/>
        <w:jc w:val="left"/>
        <w:rPr>
          <w:rFonts w:hint="eastAsia"/>
          <w:lang w:eastAsia="zh-CN"/>
        </w:rPr>
      </w:pPr>
      <w:r>
        <w:rPr>
          <w:rFonts w:hint="eastAsia" w:ascii="Times New Roman" w:hAnsi="宋体" w:eastAsia="华文中宋" w:cs="宋体"/>
          <w:b w:val="0"/>
          <w:bCs/>
          <w:color w:val="auto"/>
          <w:spacing w:val="37"/>
          <w:sz w:val="36"/>
          <w:szCs w:val="36"/>
          <w:lang w:eastAsia="zh-CN"/>
        </w:rPr>
        <w:t>招标公告</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 项目概况与招标内容、规模:</w:t>
      </w:r>
    </w:p>
    <w:p>
      <w:pPr>
        <w:spacing w:line="360" w:lineRule="auto"/>
        <w:jc w:val="both"/>
        <w:rPr>
          <w:rFonts w:hint="eastAsia" w:asciiTheme="minorEastAsia" w:hAnsiTheme="minorEastAsia" w:eastAsiaTheme="minorEastAsia" w:cstheme="minorEastAsia"/>
          <w:b w:val="0"/>
          <w:bCs/>
          <w:color w:val="auto"/>
          <w:spacing w:val="37"/>
          <w:sz w:val="24"/>
          <w:szCs w:val="24"/>
          <w:lang w:val="en-US" w:eastAsia="zh-CN"/>
        </w:rPr>
      </w:pPr>
      <w:r>
        <w:rPr>
          <w:rFonts w:hint="eastAsia" w:asciiTheme="minorEastAsia" w:hAnsiTheme="minorEastAsia" w:eastAsiaTheme="minorEastAsia" w:cstheme="minorEastAsia"/>
          <w:sz w:val="24"/>
          <w:szCs w:val="24"/>
          <w:lang w:val="en-US" w:eastAsia="zh-CN"/>
        </w:rPr>
        <w:t>1.1、项目名称：安徽省宁国市年产10万吨畜禽产品冷链加工配送项目一期建设工程门窗工程制作安装工程</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sz w:val="24"/>
          <w:szCs w:val="24"/>
          <w:lang w:val="en-US" w:eastAsia="zh-CN"/>
        </w:rPr>
        <w:t>1.2、项目编号：AHJT-2023-07-003</w:t>
      </w:r>
    </w:p>
    <w:p>
      <w:pPr>
        <w:widowControl/>
        <w:shd w:val="clear" w:color="auto" w:fill="FFFFFF"/>
        <w:spacing w:line="550" w:lineRule="atLeas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1.3、项目内容: </w:t>
      </w:r>
      <w:r>
        <w:rPr>
          <w:rFonts w:hint="eastAsia" w:asciiTheme="minorEastAsia" w:hAnsiTheme="minorEastAsia" w:eastAsiaTheme="minorEastAsia" w:cstheme="minorEastAsia"/>
          <w:color w:val="333333"/>
          <w:kern w:val="0"/>
          <w:sz w:val="24"/>
          <w:szCs w:val="24"/>
        </w:rPr>
        <w:t>本工程包括安徽省宁国市年产10万吨畜禽产品冷链加工配送项目一期建设工程门窗工程制作安装工程。具体详见施工图纸。</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1.4、招标方式：挂网招标</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1.5、实施地点：安徽省宁国市</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1.6、本项目最高控制价：</w:t>
      </w:r>
      <w:r>
        <w:rPr>
          <w:rFonts w:hint="eastAsia" w:ascii="宋体" w:hAnsi="宋体" w:eastAsia="宋体" w:cs="宋体"/>
          <w:b w:val="0"/>
          <w:bCs w:val="0"/>
          <w:i w:val="0"/>
          <w:iCs w:val="0"/>
          <w:color w:val="000000"/>
          <w:kern w:val="0"/>
          <w:sz w:val="24"/>
          <w:szCs w:val="24"/>
          <w:u w:val="none"/>
          <w:lang w:val="en-US" w:eastAsia="zh-CN" w:bidi="ar"/>
        </w:rPr>
        <w:t>925151.72</w:t>
      </w:r>
      <w:r>
        <w:rPr>
          <w:rFonts w:hint="eastAsia" w:asciiTheme="minorEastAsia" w:hAnsiTheme="minorEastAsia" w:eastAsiaTheme="minorEastAsia" w:cstheme="minorEastAsia"/>
          <w:sz w:val="24"/>
          <w:szCs w:val="24"/>
          <w:lang w:val="en-US" w:eastAsia="zh-CN"/>
        </w:rPr>
        <w:t>元</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w:t>
      </w:r>
      <w:r>
        <w:rPr>
          <w:rFonts w:hint="eastAsia" w:ascii="宋体" w:hAnsi="宋体" w:cs="宋体"/>
          <w:sz w:val="24"/>
          <w:szCs w:val="24"/>
          <w:lang w:val="en-US" w:eastAsia="zh-CN"/>
        </w:rPr>
        <w:t>详见后附控制价清单</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sz w:val="24"/>
          <w:szCs w:val="24"/>
          <w:lang w:val="en-US" w:eastAsia="zh-CN"/>
        </w:rPr>
        <w:t>.7、工期：根据工程进度进行施工并服从招标人安排</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1.8、工程质量：合格</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 投标人资格要求</w:t>
      </w:r>
      <w:bookmarkEnd w:id="0"/>
      <w:bookmarkEnd w:id="1"/>
      <w:bookmarkEnd w:id="2"/>
      <w:bookmarkEnd w:id="3"/>
      <w:bookmarkEnd w:id="4"/>
      <w:bookmarkEnd w:id="5"/>
      <w:bookmarkEnd w:id="6"/>
      <w:bookmarkEnd w:id="7"/>
      <w:r>
        <w:rPr>
          <w:rFonts w:hint="eastAsia" w:asciiTheme="minorEastAsia" w:hAnsiTheme="minorEastAsia" w:eastAsiaTheme="minorEastAsia" w:cstheme="minorEastAsia"/>
          <w:sz w:val="24"/>
          <w:szCs w:val="24"/>
          <w:lang w:eastAsia="zh-CN"/>
        </w:rPr>
        <w:t xml:space="preserve">及注意事项   </w:t>
      </w:r>
      <w:bookmarkStart w:id="8" w:name="_Toc179632532"/>
      <w:bookmarkStart w:id="9" w:name="_Toc247085676"/>
      <w:bookmarkStart w:id="10" w:name="_Toc152042292"/>
      <w:bookmarkStart w:id="11" w:name="_Toc246996905"/>
      <w:bookmarkStart w:id="12" w:name="_Toc246996162"/>
      <w:bookmarkStart w:id="13" w:name="_Toc144974484"/>
      <w:bookmarkStart w:id="14" w:name="_Toc152045516"/>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2.1、投标人须为安徽津腾建设工程有限公司供应商信息库门窗</w:t>
      </w:r>
      <w:r>
        <w:rPr>
          <w:rFonts w:hint="eastAsia" w:asciiTheme="minorEastAsia" w:hAnsiTheme="minorEastAsia" w:eastAsiaTheme="minorEastAsia" w:cstheme="minorEastAsia"/>
          <w:i w:val="0"/>
          <w:iCs w:val="0"/>
          <w:caps w:val="0"/>
          <w:color w:val="000000"/>
          <w:spacing w:val="0"/>
          <w:sz w:val="24"/>
          <w:szCs w:val="24"/>
          <w:shd w:val="clear" w:fill="FFFFFF"/>
        </w:rPr>
        <w:t>栏杆</w:t>
      </w:r>
      <w:r>
        <w:rPr>
          <w:rFonts w:hint="eastAsia" w:asciiTheme="minorEastAsia" w:hAnsiTheme="minorEastAsia" w:eastAsiaTheme="minorEastAsia" w:cstheme="minorEastAsia"/>
          <w:sz w:val="24"/>
          <w:szCs w:val="24"/>
          <w:lang w:val="en-US" w:eastAsia="zh-CN"/>
        </w:rPr>
        <w:t>专业分包库企业。</w:t>
      </w:r>
    </w:p>
    <w:p>
      <w:pPr>
        <w:widowControl/>
        <w:shd w:val="clear" w:color="auto" w:fill="FFFFFF"/>
        <w:spacing w:line="480" w:lineRule="auto"/>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lang w:val="en-US" w:eastAsia="zh-CN"/>
        </w:rPr>
        <w:t>2.2、</w:t>
      </w:r>
      <w:r>
        <w:rPr>
          <w:rFonts w:hint="eastAsia" w:asciiTheme="minorEastAsia" w:hAnsiTheme="minorEastAsia" w:eastAsiaTheme="minorEastAsia" w:cstheme="minorEastAsia"/>
          <w:color w:val="333333"/>
          <w:kern w:val="0"/>
          <w:sz w:val="24"/>
          <w:szCs w:val="24"/>
        </w:rPr>
        <w:t>中标人接到发包人通知后</w:t>
      </w:r>
      <w:r>
        <w:rPr>
          <w:rFonts w:hint="eastAsia" w:asciiTheme="minorEastAsia" w:hAnsiTheme="minorEastAsia" w:eastAsiaTheme="minorEastAsia" w:cstheme="minorEastAsia"/>
          <w:color w:val="333333"/>
          <w:kern w:val="0"/>
          <w:sz w:val="24"/>
          <w:szCs w:val="24"/>
          <w:lang w:val="en-US" w:eastAsia="zh-CN"/>
        </w:rPr>
        <w:t>15</w:t>
      </w:r>
      <w:r>
        <w:rPr>
          <w:rFonts w:hint="eastAsia" w:asciiTheme="minorEastAsia" w:hAnsiTheme="minorEastAsia" w:eastAsiaTheme="minorEastAsia" w:cstheme="minorEastAsia"/>
          <w:color w:val="333333"/>
          <w:kern w:val="0"/>
          <w:sz w:val="24"/>
          <w:szCs w:val="24"/>
        </w:rPr>
        <w:t>日内完成门窗框安装工作；</w:t>
      </w:r>
    </w:p>
    <w:p>
      <w:pPr>
        <w:widowControl/>
        <w:shd w:val="clear" w:color="auto" w:fill="FFFFFF"/>
        <w:spacing w:line="480" w:lineRule="auto"/>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lang w:val="en-US" w:eastAsia="zh-CN"/>
        </w:rPr>
        <w:t>2.3、</w:t>
      </w:r>
      <w:r>
        <w:rPr>
          <w:rFonts w:hint="eastAsia" w:asciiTheme="minorEastAsia" w:hAnsiTheme="minorEastAsia" w:eastAsiaTheme="minorEastAsia" w:cstheme="minorEastAsia"/>
          <w:color w:val="333333"/>
          <w:kern w:val="0"/>
          <w:sz w:val="24"/>
          <w:szCs w:val="24"/>
        </w:rPr>
        <w:t>中标人接到发包人通知后</w:t>
      </w:r>
      <w:r>
        <w:rPr>
          <w:rFonts w:hint="eastAsia" w:asciiTheme="minorEastAsia" w:hAnsiTheme="minorEastAsia" w:eastAsiaTheme="minorEastAsia" w:cstheme="minorEastAsia"/>
          <w:color w:val="333333"/>
          <w:kern w:val="0"/>
          <w:sz w:val="24"/>
          <w:szCs w:val="24"/>
          <w:lang w:val="en-US" w:eastAsia="zh-CN"/>
        </w:rPr>
        <w:t>10</w:t>
      </w:r>
      <w:r>
        <w:rPr>
          <w:rFonts w:hint="eastAsia" w:asciiTheme="minorEastAsia" w:hAnsiTheme="minorEastAsia" w:eastAsiaTheme="minorEastAsia" w:cstheme="minorEastAsia"/>
          <w:color w:val="333333"/>
          <w:kern w:val="0"/>
          <w:sz w:val="24"/>
          <w:szCs w:val="24"/>
        </w:rPr>
        <w:t>日内完成门窗扇安装工作；</w:t>
      </w:r>
    </w:p>
    <w:p>
      <w:pPr>
        <w:widowControl/>
        <w:shd w:val="clear" w:color="auto" w:fill="FFFFFF"/>
        <w:spacing w:line="480" w:lineRule="auto"/>
        <w:rPr>
          <w:rFonts w:hint="eastAsia" w:asciiTheme="minorEastAsia" w:hAnsiTheme="minorEastAsia" w:eastAsiaTheme="minorEastAsia" w:cstheme="minorEastAsia"/>
          <w:color w:val="333333"/>
          <w:kern w:val="0"/>
          <w:sz w:val="24"/>
          <w:szCs w:val="24"/>
          <w:lang w:val="en-US" w:eastAsia="zh-CN"/>
        </w:rPr>
      </w:pPr>
      <w:r>
        <w:rPr>
          <w:rFonts w:hint="eastAsia" w:asciiTheme="minorEastAsia" w:hAnsiTheme="minorEastAsia" w:eastAsiaTheme="minorEastAsia" w:cstheme="minorEastAsia"/>
          <w:color w:val="333333"/>
          <w:kern w:val="0"/>
          <w:sz w:val="24"/>
          <w:szCs w:val="24"/>
          <w:lang w:val="en-US" w:eastAsia="zh-CN"/>
        </w:rPr>
        <w:t>2.4、</w:t>
      </w:r>
      <w:r>
        <w:rPr>
          <w:rFonts w:hint="eastAsia" w:asciiTheme="minorEastAsia" w:hAnsiTheme="minorEastAsia" w:eastAsiaTheme="minorEastAsia" w:cstheme="minorEastAsia"/>
          <w:color w:val="333333"/>
          <w:kern w:val="0"/>
          <w:sz w:val="24"/>
          <w:szCs w:val="24"/>
        </w:rPr>
        <w:t>项目工程整体竣工验收交付之日一个月前完成门窗分部工程验收并提供完善的验</w:t>
      </w:r>
      <w:r>
        <w:rPr>
          <w:rFonts w:hint="eastAsia" w:asciiTheme="minorEastAsia" w:hAnsiTheme="minorEastAsia" w:eastAsiaTheme="minorEastAsia" w:cstheme="minorEastAsia"/>
          <w:color w:val="333333"/>
          <w:kern w:val="0"/>
          <w:sz w:val="24"/>
          <w:szCs w:val="24"/>
          <w:lang w:val="en-US" w:eastAsia="zh-CN"/>
        </w:rPr>
        <w:t>收资料（具体开工、竣工日期以签订合同为准）；</w:t>
      </w:r>
    </w:p>
    <w:p>
      <w:pPr>
        <w:widowControl/>
        <w:shd w:val="clear" w:color="auto" w:fill="FFFFFF"/>
        <w:spacing w:line="480" w:lineRule="auto"/>
        <w:rPr>
          <w:rFonts w:hint="eastAsia"/>
          <w:lang w:val="en-US" w:eastAsia="zh-CN"/>
        </w:rPr>
      </w:pPr>
      <w:r>
        <w:rPr>
          <w:rFonts w:hint="eastAsia" w:asciiTheme="minorEastAsia" w:hAnsiTheme="minorEastAsia" w:eastAsiaTheme="minorEastAsia" w:cstheme="minorEastAsia"/>
          <w:color w:val="333333"/>
          <w:kern w:val="0"/>
          <w:sz w:val="24"/>
          <w:szCs w:val="24"/>
          <w:lang w:val="en-US" w:eastAsia="zh-CN"/>
        </w:rPr>
        <w:t>2.5、质量标准：产品及安装质量必须符合现行的国家及地方法律法规、行业规范等要求，符合设计图纸等相关政府主管部门的要求，满足工程质量要求；</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eastAsia="zh-CN"/>
        </w:rPr>
        <w:t>、投标截止时间和开标时间</w:t>
      </w:r>
      <w:r>
        <w:rPr>
          <w:rFonts w:hint="eastAsia" w:asciiTheme="minorEastAsia" w:hAnsiTheme="minorEastAsia" w:eastAsiaTheme="minorEastAsia" w:cstheme="minorEastAsia"/>
          <w:color w:val="000000"/>
          <w:sz w:val="24"/>
          <w:szCs w:val="24"/>
        </w:rPr>
        <w:t>为</w:t>
      </w:r>
      <w:r>
        <w:rPr>
          <w:rFonts w:hint="eastAsia" w:asciiTheme="minorEastAsia" w:hAnsiTheme="minorEastAsia" w:eastAsiaTheme="minorEastAsia" w:cstheme="minorEastAsia"/>
          <w:color w:val="000000"/>
          <w:sz w:val="24"/>
          <w:szCs w:val="24"/>
          <w:u w:val="single"/>
          <w:lang w:eastAsia="zh-CN"/>
        </w:rPr>
        <w:t>2023年0</w:t>
      </w:r>
      <w:r>
        <w:rPr>
          <w:rFonts w:hint="eastAsia" w:asciiTheme="minorEastAsia" w:hAnsiTheme="minorEastAsia" w:eastAsiaTheme="minorEastAsia" w:cstheme="minorEastAsia"/>
          <w:color w:val="000000"/>
          <w:sz w:val="24"/>
          <w:szCs w:val="24"/>
          <w:u w:val="single"/>
          <w:lang w:val="en-US" w:eastAsia="zh-CN"/>
        </w:rPr>
        <w:t>7</w:t>
      </w:r>
      <w:r>
        <w:rPr>
          <w:rFonts w:hint="eastAsia" w:asciiTheme="minorEastAsia" w:hAnsiTheme="minorEastAsia" w:eastAsiaTheme="minorEastAsia" w:cstheme="minorEastAsia"/>
          <w:color w:val="000000"/>
          <w:sz w:val="24"/>
          <w:szCs w:val="24"/>
          <w:u w:val="single"/>
          <w:lang w:eastAsia="zh-CN"/>
        </w:rPr>
        <w:t>月</w:t>
      </w:r>
      <w:r>
        <w:rPr>
          <w:rFonts w:hint="eastAsia" w:asciiTheme="minorEastAsia" w:hAnsiTheme="minorEastAsia" w:eastAsiaTheme="minorEastAsia" w:cstheme="minorEastAsia"/>
          <w:color w:val="000000"/>
          <w:sz w:val="24"/>
          <w:szCs w:val="24"/>
          <w:u w:val="single"/>
          <w:lang w:val="en-US" w:eastAsia="zh-CN"/>
        </w:rPr>
        <w:t>24</w:t>
      </w:r>
      <w:r>
        <w:rPr>
          <w:rFonts w:hint="eastAsia" w:asciiTheme="minorEastAsia" w:hAnsiTheme="minorEastAsia" w:eastAsiaTheme="minorEastAsia" w:cstheme="minorEastAsia"/>
          <w:color w:val="000000"/>
          <w:sz w:val="24"/>
          <w:szCs w:val="24"/>
          <w:u w:val="single"/>
          <w:lang w:eastAsia="zh-CN"/>
        </w:rPr>
        <w:t>日</w:t>
      </w:r>
      <w:r>
        <w:rPr>
          <w:rFonts w:hint="eastAsia" w:asciiTheme="minorEastAsia" w:hAnsiTheme="minorEastAsia" w:eastAsiaTheme="minorEastAsia" w:cstheme="minorEastAsia"/>
          <w:color w:val="000000"/>
          <w:sz w:val="24"/>
          <w:szCs w:val="24"/>
          <w:u w:val="single"/>
          <w:lang w:val="en-US" w:eastAsia="zh-CN"/>
        </w:rPr>
        <w:t>15点30分</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安徽津腾建设工程有限公司三楼经营部吴女士收</w:t>
      </w:r>
      <w:r>
        <w:rPr>
          <w:rFonts w:hint="eastAsia" w:asciiTheme="minorEastAsia" w:hAnsiTheme="minorEastAsia" w:eastAsiaTheme="minorEastAsia" w:cstheme="minorEastAsia"/>
          <w:color w:val="000000"/>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.2</w:t>
      </w:r>
      <w:r>
        <w:rPr>
          <w:rStyle w:val="140"/>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逾期送达的或者未送达指定地点的投标文件，招标人不予受理。</w:t>
      </w:r>
      <w:bookmarkStart w:id="15" w:name="_Toc296602416"/>
      <w:bookmarkEnd w:id="15"/>
      <w:bookmarkStart w:id="16" w:name="_Toc152045525"/>
      <w:bookmarkEnd w:id="16"/>
      <w:bookmarkStart w:id="17" w:name="_Toc179632542"/>
      <w:bookmarkEnd w:id="17"/>
      <w:bookmarkStart w:id="18" w:name="_Toc246996172"/>
      <w:bookmarkEnd w:id="18"/>
      <w:bookmarkStart w:id="19" w:name="_Toc152042301"/>
      <w:bookmarkEnd w:id="19"/>
      <w:bookmarkStart w:id="20" w:name="_Toc247085686"/>
      <w:bookmarkEnd w:id="20"/>
      <w:bookmarkStart w:id="21" w:name="_Toc246996915"/>
      <w:bookmarkEnd w:id="21"/>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、联系方式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4.1、</w:t>
      </w:r>
      <w:r>
        <w:rPr>
          <w:rFonts w:hint="eastAsia" w:asciiTheme="minorEastAsia" w:hAnsiTheme="minorEastAsia" w:eastAsiaTheme="minorEastAsia" w:cstheme="minorEastAsia"/>
          <w:color w:val="000000"/>
          <w:sz w:val="24"/>
          <w:szCs w:val="24"/>
        </w:rPr>
        <w:t>招标人：</w:t>
      </w:r>
      <w:r>
        <w:rPr>
          <w:rFonts w:hint="eastAsia" w:asciiTheme="minorEastAsia" w:hAnsiTheme="minorEastAsia" w:eastAsiaTheme="minorEastAsia" w:cstheme="minorEastAsia"/>
          <w:color w:val="000000"/>
          <w:sz w:val="24"/>
          <w:szCs w:val="24"/>
          <w:lang w:eastAsia="zh-CN"/>
        </w:rPr>
        <w:t>安徽津腾建设工程有限公司</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4.2、</w:t>
      </w:r>
      <w:r>
        <w:rPr>
          <w:rFonts w:hint="eastAsia" w:asciiTheme="minorEastAsia" w:hAnsiTheme="minorEastAsia" w:eastAsiaTheme="minorEastAsia" w:cstheme="minorEastAsia"/>
          <w:color w:val="000000"/>
          <w:sz w:val="24"/>
          <w:szCs w:val="24"/>
        </w:rPr>
        <w:t>地址:</w:t>
      </w:r>
      <w:r>
        <w:rPr>
          <w:rStyle w:val="140"/>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宁国市汇金广场附楼三楼</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4.3、</w:t>
      </w:r>
      <w:r>
        <w:rPr>
          <w:rFonts w:hint="eastAsia" w:asciiTheme="minorEastAsia" w:hAnsiTheme="minorEastAsia" w:eastAsiaTheme="minorEastAsia" w:cstheme="minorEastAsia"/>
          <w:color w:val="000000"/>
          <w:sz w:val="24"/>
          <w:szCs w:val="24"/>
        </w:rPr>
        <w:t>邮编：242</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00</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4.4、</w:t>
      </w:r>
      <w:r>
        <w:rPr>
          <w:rFonts w:hint="eastAsia" w:asciiTheme="minorEastAsia" w:hAnsiTheme="minorEastAsia" w:eastAsiaTheme="minorEastAsia" w:cstheme="minorEastAsia"/>
          <w:color w:val="000000"/>
          <w:sz w:val="24"/>
          <w:szCs w:val="24"/>
        </w:rPr>
        <w:t>联系人：</w:t>
      </w:r>
      <w:r>
        <w:rPr>
          <w:rFonts w:hint="eastAsia" w:asciiTheme="minorEastAsia" w:hAnsiTheme="minorEastAsia" w:eastAsiaTheme="minorEastAsia" w:cstheme="minorEastAsia"/>
          <w:color w:val="000000"/>
          <w:sz w:val="24"/>
          <w:szCs w:val="24"/>
          <w:lang w:eastAsia="zh-CN"/>
        </w:rPr>
        <w:t>程先生</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4.5、</w:t>
      </w:r>
      <w:r>
        <w:rPr>
          <w:rFonts w:hint="eastAsia" w:asciiTheme="minorEastAsia" w:hAnsiTheme="minorEastAsia" w:eastAsiaTheme="minorEastAsia" w:cstheme="minorEastAsia"/>
          <w:color w:val="000000"/>
          <w:sz w:val="24"/>
          <w:szCs w:val="24"/>
        </w:rPr>
        <w:t>电话</w:t>
      </w:r>
      <w:bookmarkEnd w:id="8"/>
      <w:bookmarkEnd w:id="9"/>
      <w:bookmarkEnd w:id="10"/>
      <w:bookmarkEnd w:id="11"/>
      <w:bookmarkEnd w:id="12"/>
      <w:bookmarkEnd w:id="13"/>
      <w:bookmarkEnd w:id="14"/>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0563-4750388  13695632886</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5、投标报名及招标文件的获取</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5.1、招标文件及相关附件请自行登录安徽津腾建设工程有限公司网站（http://www.anhuijtjs.com）领取。</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5.2、图纸提取网址链接：https://pan.baidu.com/s/15PuANPeRCodvpLKxAYRwZQ?pwd=nuih </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提取码：nuih</w:t>
      </w:r>
    </w:p>
    <w:p>
      <w:pPr>
        <w:rPr>
          <w:rFonts w:hint="eastAsia" w:asciiTheme="minorEastAsia" w:hAnsiTheme="minorEastAsia" w:eastAsiaTheme="minorEastAsia" w:cstheme="minorEastAsia"/>
          <w:sz w:val="24"/>
          <w:szCs w:val="24"/>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第二章 投标人须知</w:t>
      </w:r>
    </w:p>
    <w:p>
      <w:pPr>
        <w:pStyle w:val="4"/>
        <w:jc w:val="center"/>
        <w:rPr>
          <w:rFonts w:hint="eastAsia" w:ascii="宋体" w:hAnsi="宋体" w:eastAsia="宋体" w:cs="宋体"/>
        </w:rPr>
      </w:pPr>
      <w:r>
        <w:rPr>
          <w:rFonts w:hint="eastAsia" w:ascii="宋体" w:hAnsi="宋体" w:eastAsia="宋体" w:cs="宋体"/>
        </w:rPr>
        <w:t>投标人须知前附表</w:t>
      </w:r>
    </w:p>
    <w:tbl>
      <w:tblPr>
        <w:tblStyle w:val="42"/>
        <w:tblW w:w="10391" w:type="dxa"/>
        <w:tblInd w:w="-72" w:type="dxa"/>
        <w:tblLayout w:type="fixed"/>
        <w:tblCellMar>
          <w:top w:w="0" w:type="dxa"/>
          <w:left w:w="108" w:type="dxa"/>
          <w:bottom w:w="0" w:type="dxa"/>
          <w:right w:w="108" w:type="dxa"/>
        </w:tblCellMar>
      </w:tblPr>
      <w:tblGrid>
        <w:gridCol w:w="1088"/>
        <w:gridCol w:w="3912"/>
        <w:gridCol w:w="5391"/>
      </w:tblGrid>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sz w:val="23"/>
                <w:szCs w:val="23"/>
              </w:rPr>
            </w:pPr>
            <w:r>
              <w:rPr>
                <w:rFonts w:hint="eastAsia" w:ascii="宋体" w:hAnsi="宋体" w:eastAsia="宋体" w:cs="宋体"/>
                <w:b/>
                <w:sz w:val="23"/>
                <w:szCs w:val="23"/>
              </w:rPr>
              <w:t>序号</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条  款  名  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编  列  内  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踏勘现场</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不组织</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□组织，踏勘时间：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踏勘集中地点：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投标预备会</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不召开</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□召开，召开时间：</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召开地点：</w:t>
            </w:r>
          </w:p>
        </w:tc>
      </w:tr>
      <w:tr>
        <w:tblPrEx>
          <w:tblCellMar>
            <w:top w:w="0" w:type="dxa"/>
            <w:left w:w="108" w:type="dxa"/>
            <w:bottom w:w="0" w:type="dxa"/>
            <w:right w:w="108" w:type="dxa"/>
          </w:tblCellMar>
        </w:tblPrEx>
        <w:trPr>
          <w:trHeight w:val="65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偏离</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不允许</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□允许</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构成招标文件的其他材料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招标补遗及答疑</w:t>
            </w:r>
          </w:p>
        </w:tc>
      </w:tr>
      <w:tr>
        <w:tblPrEx>
          <w:tblCellMar>
            <w:top w:w="0" w:type="dxa"/>
            <w:left w:w="108" w:type="dxa"/>
            <w:bottom w:w="0" w:type="dxa"/>
            <w:right w:w="108" w:type="dxa"/>
          </w:tblCellMar>
        </w:tblPrEx>
        <w:trPr>
          <w:trHeight w:val="35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投标截止时间</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FF0000"/>
                <w:sz w:val="23"/>
                <w:szCs w:val="23"/>
                <w:lang w:eastAsia="zh-CN"/>
              </w:rPr>
            </w:pPr>
            <w:r>
              <w:rPr>
                <w:rFonts w:hint="eastAsia" w:ascii="宋体" w:hAnsi="宋体" w:eastAsia="宋体" w:cs="宋体"/>
                <w:color w:val="000000"/>
                <w:sz w:val="23"/>
                <w:szCs w:val="23"/>
                <w:lang w:eastAsia="zh-CN"/>
              </w:rPr>
              <w:t>2023年0</w:t>
            </w:r>
            <w:r>
              <w:rPr>
                <w:rFonts w:hint="eastAsia" w:ascii="宋体" w:hAnsi="宋体" w:eastAsia="宋体" w:cs="宋体"/>
                <w:color w:val="000000"/>
                <w:sz w:val="23"/>
                <w:szCs w:val="23"/>
                <w:lang w:val="en-US" w:eastAsia="zh-CN"/>
              </w:rPr>
              <w:t>7</w:t>
            </w:r>
            <w:r>
              <w:rPr>
                <w:rFonts w:hint="eastAsia" w:ascii="宋体" w:hAnsi="宋体" w:eastAsia="宋体" w:cs="宋体"/>
                <w:color w:val="000000"/>
                <w:sz w:val="23"/>
                <w:szCs w:val="23"/>
                <w:lang w:eastAsia="zh-CN"/>
              </w:rPr>
              <w:t>月</w:t>
            </w:r>
            <w:r>
              <w:rPr>
                <w:rFonts w:hint="eastAsia" w:ascii="宋体" w:hAnsi="宋体" w:eastAsia="宋体" w:cs="宋体"/>
                <w:color w:val="000000"/>
                <w:sz w:val="23"/>
                <w:szCs w:val="23"/>
                <w:lang w:val="en-US" w:eastAsia="zh-CN"/>
              </w:rPr>
              <w:t>24</w:t>
            </w:r>
            <w:r>
              <w:rPr>
                <w:rFonts w:hint="eastAsia" w:ascii="宋体" w:hAnsi="宋体" w:eastAsia="宋体" w:cs="宋体"/>
                <w:color w:val="000000"/>
                <w:sz w:val="23"/>
                <w:szCs w:val="23"/>
                <w:lang w:eastAsia="zh-CN"/>
              </w:rPr>
              <w:t>日</w:t>
            </w:r>
            <w:r>
              <w:rPr>
                <w:rFonts w:hint="eastAsia" w:ascii="宋体" w:hAnsi="宋体" w:eastAsia="宋体" w:cs="宋体"/>
                <w:color w:val="000000"/>
                <w:sz w:val="23"/>
                <w:szCs w:val="23"/>
                <w:lang w:val="en-US" w:eastAsia="zh-CN"/>
              </w:rPr>
              <w:t>15</w:t>
            </w:r>
            <w:r>
              <w:rPr>
                <w:rFonts w:hint="eastAsia" w:ascii="宋体" w:hAnsi="宋体" w:eastAsia="宋体" w:cs="宋体"/>
                <w:color w:val="000000"/>
                <w:sz w:val="23"/>
                <w:szCs w:val="23"/>
                <w:lang w:eastAsia="zh-CN"/>
              </w:rPr>
              <w:t>点</w:t>
            </w:r>
            <w:r>
              <w:rPr>
                <w:rFonts w:hint="eastAsia" w:ascii="宋体" w:hAnsi="宋体" w:eastAsia="宋体" w:cs="宋体"/>
                <w:color w:val="000000"/>
                <w:sz w:val="23"/>
                <w:szCs w:val="23"/>
                <w:lang w:val="en-US" w:eastAsia="zh-CN"/>
              </w:rPr>
              <w:t>3</w:t>
            </w:r>
            <w:r>
              <w:rPr>
                <w:rFonts w:hint="eastAsia" w:ascii="宋体" w:hAnsi="宋体" w:eastAsia="宋体" w:cs="宋体"/>
                <w:color w:val="000000"/>
                <w:sz w:val="23"/>
                <w:szCs w:val="23"/>
                <w:lang w:eastAsia="zh-CN"/>
              </w:rPr>
              <w:t>0分</w:t>
            </w:r>
          </w:p>
        </w:tc>
      </w:tr>
      <w:tr>
        <w:tblPrEx>
          <w:tblCellMar>
            <w:top w:w="0" w:type="dxa"/>
            <w:left w:w="108" w:type="dxa"/>
            <w:bottom w:w="0" w:type="dxa"/>
            <w:right w:w="108" w:type="dxa"/>
          </w:tblCellMar>
        </w:tblPrEx>
        <w:trPr>
          <w:trHeight w:val="76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构成投标文件的其他材料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投标人认为需提供的其他材料</w:t>
            </w:r>
          </w:p>
        </w:tc>
      </w:tr>
      <w:tr>
        <w:tblPrEx>
          <w:tblCellMar>
            <w:top w:w="0" w:type="dxa"/>
            <w:left w:w="108" w:type="dxa"/>
            <w:bottom w:w="0" w:type="dxa"/>
            <w:right w:w="108" w:type="dxa"/>
          </w:tblCellMar>
        </w:tblPrEx>
        <w:trPr>
          <w:trHeight w:val="77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u w:val="none"/>
              </w:rPr>
            </w:pPr>
            <w:r>
              <w:rPr>
                <w:rFonts w:hint="eastAsia" w:ascii="宋体" w:hAnsi="宋体" w:eastAsia="宋体" w:cs="宋体"/>
                <w:b/>
                <w:sz w:val="23"/>
                <w:szCs w:val="23"/>
                <w:u w:val="none"/>
              </w:rPr>
              <w:t>最高控制价</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kinsoku w:val="0"/>
              <w:wordWrap/>
              <w:overflowPunct/>
              <w:topLinePunct w:val="0"/>
              <w:autoSpaceDE w:val="0"/>
              <w:autoSpaceDN w:val="0"/>
              <w:bidi w:val="0"/>
              <w:adjustRightInd w:val="0"/>
              <w:snapToGrid/>
              <w:spacing w:beforeAutospacing="0" w:after="160" w:afterAutospacing="0" w:line="360" w:lineRule="auto"/>
              <w:ind w:left="0" w:leftChars="0" w:firstLine="480" w:firstLineChars="200"/>
              <w:jc w:val="both"/>
              <w:textAlignment w:val="baseline"/>
              <w:rPr>
                <w:rFonts w:hint="default" w:ascii="宋体" w:hAnsi="宋体" w:eastAsia="宋体" w:cs="宋体"/>
                <w:sz w:val="23"/>
                <w:szCs w:val="23"/>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925151.72</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元。</w:t>
            </w:r>
            <w:r>
              <w:rPr>
                <w:rFonts w:hint="eastAsia" w:ascii="宋体" w:hAnsi="宋体" w:cs="宋体"/>
                <w:sz w:val="24"/>
                <w:szCs w:val="24"/>
                <w:lang w:val="en-US" w:eastAsia="zh-CN"/>
              </w:rPr>
              <w:t>详见后附控制价清单，且投标单价不得高于控制价单价，否则做废标处理</w:t>
            </w:r>
            <w:r>
              <w:rPr>
                <w:rFonts w:hint="eastAsia" w:asciiTheme="minorEastAsia" w:hAnsiTheme="minorEastAsia" w:eastAsiaTheme="minorEastAsia" w:cstheme="minorEastAsia"/>
                <w:sz w:val="24"/>
                <w:szCs w:val="24"/>
                <w:lang w:val="en-US" w:eastAsia="zh-CN"/>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投标有效期</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val="en-US" w:eastAsia="zh-CN"/>
              </w:rPr>
              <w:t>1</w:t>
            </w:r>
            <w:r>
              <w:rPr>
                <w:rFonts w:hint="eastAsia" w:ascii="宋体" w:hAnsi="宋体" w:eastAsia="宋体" w:cs="宋体"/>
                <w:sz w:val="23"/>
                <w:szCs w:val="23"/>
              </w:rPr>
              <w:t>0天</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近年财务状况的年份要求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26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10</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近年完成的类似项目的年份要求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81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签字要求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3"/>
                <w:szCs w:val="23"/>
              </w:rPr>
            </w:pPr>
            <w:r>
              <w:rPr>
                <w:rFonts w:hint="eastAsia" w:ascii="宋体" w:hAnsi="宋体" w:eastAsia="宋体" w:cs="宋体"/>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投标文件份数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投标文件叁份，正本壹份，副本贰份。</w:t>
            </w:r>
          </w:p>
        </w:tc>
      </w:tr>
      <w:tr>
        <w:tblPrEx>
          <w:tblCellMar>
            <w:top w:w="0" w:type="dxa"/>
            <w:left w:w="108" w:type="dxa"/>
            <w:bottom w:w="0" w:type="dxa"/>
            <w:right w:w="108" w:type="dxa"/>
          </w:tblCellMar>
        </w:tblPrEx>
        <w:trPr>
          <w:trHeight w:val="57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投标文件的装订、密封和标记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eastAsia="zh-CN"/>
              </w:rPr>
              <w:t>投标文件要求胶装不得活页装订，</w:t>
            </w:r>
            <w:r>
              <w:rPr>
                <w:rFonts w:hint="eastAsia" w:ascii="宋体" w:hAnsi="宋体" w:eastAsia="宋体" w:cs="宋体"/>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285" w:hRule="atLeast"/>
        </w:trPr>
        <w:tc>
          <w:tcPr>
            <w:tcW w:w="1088"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施工组织设计</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封套上应载明的信息</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3"/>
                <w:szCs w:val="23"/>
              </w:rPr>
            </w:pPr>
            <w:r>
              <w:rPr>
                <w:rFonts w:hint="eastAsia" w:ascii="宋体" w:hAnsi="宋体" w:eastAsia="宋体" w:cs="宋体"/>
                <w:sz w:val="23"/>
                <w:szCs w:val="23"/>
              </w:rPr>
              <w:t>投标人名称：</w:t>
            </w:r>
          </w:p>
          <w:p>
            <w:pPr>
              <w:spacing w:line="400" w:lineRule="exact"/>
              <w:jc w:val="both"/>
              <w:rPr>
                <w:rFonts w:hint="eastAsia" w:ascii="宋体" w:hAnsi="宋体" w:eastAsia="宋体" w:cs="宋体"/>
                <w:sz w:val="23"/>
                <w:szCs w:val="23"/>
                <w:u w:val="single"/>
              </w:rPr>
            </w:pPr>
            <w:r>
              <w:rPr>
                <w:rFonts w:hint="eastAsia" w:ascii="宋体" w:hAnsi="宋体" w:eastAsia="宋体" w:cs="宋体"/>
                <w:sz w:val="23"/>
                <w:szCs w:val="23"/>
              </w:rPr>
              <w:t>招标人名称：</w:t>
            </w:r>
            <w:r>
              <w:rPr>
                <w:rFonts w:hint="eastAsia" w:ascii="宋体" w:hAnsi="宋体" w:eastAsia="宋体" w:cs="宋体"/>
                <w:sz w:val="23"/>
                <w:szCs w:val="23"/>
                <w:u w:val="single"/>
              </w:rPr>
              <w:t>（项目名称）</w:t>
            </w:r>
            <w:r>
              <w:rPr>
                <w:rFonts w:hint="eastAsia" w:ascii="宋体" w:hAnsi="宋体" w:eastAsia="宋体" w:cs="宋体"/>
                <w:sz w:val="23"/>
                <w:szCs w:val="23"/>
              </w:rPr>
              <w:t>投标文件</w:t>
            </w:r>
          </w:p>
        </w:tc>
      </w:tr>
      <w:tr>
        <w:tblPrEx>
          <w:tblCellMar>
            <w:top w:w="0" w:type="dxa"/>
            <w:left w:w="108" w:type="dxa"/>
            <w:bottom w:w="0" w:type="dxa"/>
            <w:right w:w="108" w:type="dxa"/>
          </w:tblCellMar>
        </w:tblPrEx>
        <w:trPr>
          <w:trHeight w:val="64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递交投标文件地点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color w:val="000000"/>
                <w:sz w:val="23"/>
                <w:szCs w:val="23"/>
                <w:lang w:eastAsia="zh-CN"/>
              </w:rPr>
              <w:t>安徽津腾建设工程有限公司三楼经营部吴女士收</w:t>
            </w:r>
          </w:p>
        </w:tc>
      </w:tr>
      <w:tr>
        <w:tblPrEx>
          <w:tblCellMar>
            <w:top w:w="0" w:type="dxa"/>
            <w:left w:w="108" w:type="dxa"/>
            <w:bottom w:w="0" w:type="dxa"/>
            <w:right w:w="108" w:type="dxa"/>
          </w:tblCellMar>
        </w:tblPrEx>
        <w:trPr>
          <w:trHeight w:val="79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是否退还投标文件</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否</w:t>
            </w:r>
            <w:r>
              <w:rPr>
                <w:rFonts w:hint="eastAsia" w:ascii="宋体" w:hAnsi="宋体" w:cs="宋体"/>
                <w:sz w:val="23"/>
                <w:szCs w:val="23"/>
                <w:lang w:val="en-US" w:eastAsia="zh-CN"/>
              </w:rPr>
              <w:t xml:space="preserve">      </w:t>
            </w:r>
            <w:r>
              <w:rPr>
                <w:rFonts w:hint="eastAsia" w:ascii="宋体" w:hAnsi="宋体" w:eastAsia="宋体" w:cs="宋体"/>
                <w:sz w:val="23"/>
                <w:szCs w:val="23"/>
              </w:rPr>
              <w:t>□是</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开标时间和地点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开标时间：同投标截止时间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开标地点：同递交投标文件地点</w:t>
            </w:r>
          </w:p>
        </w:tc>
      </w:tr>
      <w:tr>
        <w:tblPrEx>
          <w:tblCellMar>
            <w:top w:w="0" w:type="dxa"/>
            <w:left w:w="108" w:type="dxa"/>
            <w:bottom w:w="0" w:type="dxa"/>
            <w:right w:w="108" w:type="dxa"/>
          </w:tblCellMar>
        </w:tblPrEx>
        <w:trPr>
          <w:trHeight w:val="85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开标方式</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color w:val="auto"/>
                <w:sz w:val="23"/>
                <w:szCs w:val="23"/>
                <w:lang w:val="en-US" w:eastAsia="zh-CN"/>
              </w:rPr>
              <w:t>公开开标</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20</w:t>
            </w:r>
          </w:p>
        </w:tc>
        <w:tc>
          <w:tcPr>
            <w:tcW w:w="3912" w:type="dxa"/>
            <w:tcBorders>
              <w:top w:val="single" w:color="auto" w:sz="4" w:space="0"/>
              <w:left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评标办法</w:t>
            </w:r>
          </w:p>
        </w:tc>
        <w:tc>
          <w:tcPr>
            <w:tcW w:w="5391"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综合评标法</w:t>
            </w:r>
          </w:p>
        </w:tc>
      </w:tr>
      <w:tr>
        <w:tblPrEx>
          <w:tblCellMar>
            <w:top w:w="0" w:type="dxa"/>
            <w:left w:w="108" w:type="dxa"/>
            <w:bottom w:w="0" w:type="dxa"/>
            <w:right w:w="108" w:type="dxa"/>
          </w:tblCellMar>
        </w:tblPrEx>
        <w:trPr>
          <w:trHeight w:val="78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lang w:eastAsia="zh-CN"/>
              </w:rPr>
              <w:t>投标</w:t>
            </w:r>
            <w:r>
              <w:rPr>
                <w:rFonts w:hint="eastAsia" w:ascii="宋体" w:hAnsi="宋体" w:eastAsia="宋体" w:cs="宋体"/>
                <w:sz w:val="23"/>
                <w:szCs w:val="23"/>
              </w:rPr>
              <w:t>保证金</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投标保金额：10万，</w:t>
            </w:r>
            <w:r>
              <w:rPr>
                <w:rFonts w:hint="eastAsia" w:ascii="宋体" w:hAnsi="宋体" w:eastAsia="宋体" w:cs="宋体"/>
                <w:i w:val="0"/>
                <w:iCs w:val="0"/>
                <w:caps w:val="0"/>
                <w:color w:val="000000"/>
                <w:spacing w:val="0"/>
                <w:sz w:val="23"/>
                <w:szCs w:val="23"/>
                <w:shd w:val="clear" w:fill="FFFFFF"/>
              </w:rPr>
              <w:t>保证金缴纳截止时间：投标截止时间</w:t>
            </w:r>
            <w:r>
              <w:rPr>
                <w:rFonts w:hint="eastAsia" w:ascii="宋体" w:hAnsi="宋体" w:eastAsia="宋体" w:cs="宋体"/>
                <w:sz w:val="23"/>
                <w:szCs w:val="23"/>
                <w:lang w:val="en-US" w:eastAsia="zh-CN"/>
              </w:rPr>
              <w:t>。</w:t>
            </w:r>
          </w:p>
          <w:p>
            <w:pPr>
              <w:spacing w:line="400" w:lineRule="exact"/>
              <w:jc w:val="both"/>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履约担保形式：</w:t>
            </w:r>
            <w:r>
              <w:rPr>
                <w:rFonts w:hint="eastAsia" w:ascii="宋体" w:hAnsi="宋体" w:eastAsia="宋体" w:cs="宋体"/>
                <w:sz w:val="23"/>
                <w:szCs w:val="23"/>
                <w:lang w:val="en-US" w:eastAsia="zh-CN"/>
              </w:rPr>
              <w:sym w:font="Wingdings 2" w:char="0052"/>
            </w:r>
            <w:r>
              <w:rPr>
                <w:rFonts w:hint="eastAsia" w:ascii="宋体" w:hAnsi="宋体" w:eastAsia="宋体" w:cs="宋体"/>
                <w:sz w:val="23"/>
                <w:szCs w:val="23"/>
                <w:lang w:val="en-US" w:eastAsia="zh-CN"/>
              </w:rPr>
              <w:t>转账或者现金</w:t>
            </w:r>
          </w:p>
          <w:p>
            <w:pPr>
              <w:pStyle w:val="3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right="0"/>
              <w:jc w:val="both"/>
              <w:rPr>
                <w:rFonts w:hint="eastAsia" w:ascii="Times New Roman" w:hAnsi="Times New Roman" w:eastAsia="宋体" w:cs="Times New Roman"/>
                <w:i w:val="0"/>
                <w:iCs w:val="0"/>
                <w:caps w:val="0"/>
                <w:color w:val="333333"/>
                <w:spacing w:val="0"/>
                <w:sz w:val="21"/>
                <w:szCs w:val="21"/>
                <w:lang w:eastAsia="zh-CN"/>
              </w:rPr>
            </w:pPr>
            <w:r>
              <w:rPr>
                <w:rFonts w:hint="eastAsia" w:ascii="宋体" w:hAnsi="宋体" w:eastAsia="宋体" w:cs="宋体"/>
                <w:i w:val="0"/>
                <w:iCs w:val="0"/>
                <w:caps w:val="0"/>
                <w:color w:val="000000"/>
                <w:spacing w:val="0"/>
                <w:sz w:val="23"/>
                <w:szCs w:val="23"/>
                <w:shd w:val="clear" w:fill="FFFFFF"/>
              </w:rPr>
              <w:t>投标保证金账户</w:t>
            </w:r>
            <w:r>
              <w:rPr>
                <w:rFonts w:hint="eastAsia" w:ascii="宋体" w:hAnsi="宋体" w:eastAsia="宋体" w:cs="宋体"/>
                <w:i w:val="0"/>
                <w:iCs w:val="0"/>
                <w:caps w:val="0"/>
                <w:color w:val="000000"/>
                <w:spacing w:val="0"/>
                <w:sz w:val="23"/>
                <w:szCs w:val="23"/>
                <w:shd w:val="clear" w:fill="FFFFFF"/>
                <w:lang w:eastAsia="zh-CN"/>
              </w:rPr>
              <w:t>：</w:t>
            </w:r>
          </w:p>
          <w:p>
            <w:pPr>
              <w:rPr>
                <w:rFonts w:hint="eastAsia" w:ascii="宋体" w:hAnsi="宋体" w:eastAsia="宋体" w:cs="宋体"/>
                <w:sz w:val="22"/>
                <w:szCs w:val="22"/>
                <w:lang w:eastAsia="zh-CN"/>
              </w:rPr>
            </w:pPr>
            <w:r>
              <w:rPr>
                <w:rFonts w:hint="eastAsia" w:ascii="宋体" w:hAnsi="宋体" w:eastAsia="宋体" w:cs="宋体"/>
                <w:i w:val="0"/>
                <w:iCs w:val="0"/>
                <w:caps w:val="0"/>
                <w:color w:val="000000"/>
                <w:spacing w:val="0"/>
                <w:sz w:val="23"/>
                <w:szCs w:val="23"/>
                <w:shd w:val="clear" w:fill="FFFFFF"/>
              </w:rPr>
              <w:t>账 户 名：</w:t>
            </w:r>
            <w:r>
              <w:rPr>
                <w:rFonts w:hint="eastAsia" w:ascii="宋体" w:hAnsi="宋体" w:eastAsia="宋体" w:cs="宋体"/>
                <w:sz w:val="22"/>
                <w:szCs w:val="22"/>
                <w:lang w:eastAsia="zh-CN"/>
              </w:rPr>
              <w:t>安徽津腾建设工程有限公司</w:t>
            </w:r>
          </w:p>
          <w:p>
            <w:pPr>
              <w:rPr>
                <w:rFonts w:hint="eastAsia" w:ascii="宋体" w:hAnsi="宋体" w:eastAsia="宋体" w:cs="宋体"/>
                <w:sz w:val="22"/>
                <w:szCs w:val="22"/>
                <w:lang w:eastAsia="zh-CN"/>
              </w:rPr>
            </w:pPr>
            <w:r>
              <w:rPr>
                <w:rFonts w:hint="eastAsia" w:ascii="宋体" w:hAnsi="宋体" w:eastAsia="宋体" w:cs="宋体"/>
                <w:i w:val="0"/>
                <w:iCs w:val="0"/>
                <w:caps w:val="0"/>
                <w:color w:val="000000"/>
                <w:spacing w:val="0"/>
                <w:sz w:val="23"/>
                <w:szCs w:val="23"/>
                <w:shd w:val="clear" w:fill="FFFFFF"/>
              </w:rPr>
              <w:t>开 户 行：</w:t>
            </w:r>
            <w:r>
              <w:rPr>
                <w:rFonts w:hint="eastAsia" w:ascii="宋体" w:hAnsi="宋体" w:eastAsia="宋体" w:cs="宋体"/>
                <w:sz w:val="22"/>
                <w:szCs w:val="22"/>
              </w:rPr>
              <w:t>安徽</w:t>
            </w:r>
            <w:r>
              <w:rPr>
                <w:rFonts w:hint="eastAsia" w:ascii="宋体" w:hAnsi="宋体" w:eastAsia="宋体" w:cs="宋体"/>
                <w:sz w:val="22"/>
                <w:szCs w:val="22"/>
                <w:lang w:eastAsia="zh-CN"/>
              </w:rPr>
              <w:t>宁国农村商业银行股份有限公司</w:t>
            </w:r>
          </w:p>
          <w:p>
            <w:pPr>
              <w:rPr>
                <w:rFonts w:hint="eastAsia" w:ascii="宋体" w:hAnsi="宋体" w:eastAsia="宋体" w:cs="宋体"/>
                <w:sz w:val="22"/>
                <w:szCs w:val="22"/>
                <w:lang w:val="en-US" w:eastAsia="zh-CN"/>
              </w:rPr>
            </w:pPr>
            <w:r>
              <w:rPr>
                <w:rFonts w:hint="eastAsia" w:ascii="宋体" w:hAnsi="宋体" w:eastAsia="宋体" w:cs="宋体"/>
                <w:i w:val="0"/>
                <w:iCs w:val="0"/>
                <w:caps w:val="0"/>
                <w:color w:val="000000"/>
                <w:spacing w:val="0"/>
                <w:sz w:val="23"/>
                <w:szCs w:val="23"/>
                <w:shd w:val="clear" w:fill="FFFFFF"/>
              </w:rPr>
              <w:t>账    号：</w:t>
            </w:r>
            <w:r>
              <w:rPr>
                <w:rFonts w:hint="eastAsia" w:ascii="宋体" w:hAnsi="宋体" w:eastAsia="宋体" w:cs="宋体"/>
                <w:sz w:val="22"/>
                <w:szCs w:val="22"/>
              </w:rPr>
              <w:t>200</w:t>
            </w:r>
            <w:r>
              <w:rPr>
                <w:rFonts w:hint="eastAsia" w:ascii="宋体" w:hAnsi="宋体" w:eastAsia="宋体" w:cs="宋体"/>
                <w:sz w:val="22"/>
                <w:szCs w:val="22"/>
                <w:lang w:val="en-US" w:eastAsia="zh-CN"/>
              </w:rPr>
              <w:t>10289345266600000018</w:t>
            </w:r>
          </w:p>
          <w:p>
            <w:pPr>
              <w:spacing w:line="400" w:lineRule="exact"/>
              <w:jc w:val="left"/>
              <w:rPr>
                <w:rFonts w:hint="eastAsia" w:ascii="宋体" w:hAnsi="宋体" w:eastAsia="宋体" w:cs="宋体"/>
                <w:szCs w:val="21"/>
                <w:highlight w:val="none"/>
                <w:u w:val="single"/>
                <w:lang w:val="en-US" w:eastAsia="zh-CN"/>
              </w:rPr>
            </w:pPr>
            <w:r>
              <w:rPr>
                <w:rFonts w:hint="eastAsia" w:ascii="宋体" w:hAnsi="宋体" w:eastAsia="宋体" w:cs="宋体"/>
                <w:sz w:val="24"/>
                <w:szCs w:val="24"/>
                <w:lang w:eastAsia="zh-CN"/>
              </w:rPr>
              <w:t>中标单位投标保证金自动转为履约保证金，</w:t>
            </w:r>
            <w:r>
              <w:rPr>
                <w:rFonts w:ascii="宋体" w:hAnsi="宋体" w:eastAsia="宋体" w:cs="宋体"/>
                <w:sz w:val="24"/>
                <w:szCs w:val="24"/>
              </w:rPr>
              <w:t xml:space="preserve">投标保证金必须从投标人的开户银行基本账户足额转出，汇 款人必须与投标人名称相一致，不得由其他法人或其他组织代 汇，也不得从个人账户代汇。投标保证金必须在投标截止时间 前到达指定账户，由于投标人迟汇、错汇、误汇等未按规定提 交投标保证金而引起的风险由投标人自负。 </w:t>
            </w:r>
            <w:r>
              <w:rPr>
                <w:rFonts w:hint="eastAsia" w:asciiTheme="minorEastAsia" w:hAnsiTheme="minorEastAsia" w:eastAsiaTheme="minorEastAsia" w:cstheme="minorEastAsia"/>
                <w:color w:val="000000"/>
                <w:sz w:val="24"/>
                <w:szCs w:val="24"/>
                <w:lang w:eastAsia="zh-CN"/>
              </w:rPr>
              <w:t>安徽津腾建设工程有限公司</w:t>
            </w:r>
            <w:r>
              <w:rPr>
                <w:rFonts w:ascii="宋体" w:hAnsi="宋体" w:eastAsia="宋体" w:cs="宋体"/>
                <w:sz w:val="24"/>
                <w:szCs w:val="24"/>
              </w:rPr>
              <w:t>在收到投标保证金后，无须向投标 人出具收据；投标人在收到</w:t>
            </w:r>
            <w:r>
              <w:rPr>
                <w:rFonts w:hint="eastAsia" w:asciiTheme="minorEastAsia" w:hAnsiTheme="minorEastAsia" w:eastAsiaTheme="minorEastAsia" w:cstheme="minorEastAsia"/>
                <w:color w:val="000000"/>
                <w:sz w:val="24"/>
                <w:szCs w:val="24"/>
                <w:lang w:eastAsia="zh-CN"/>
              </w:rPr>
              <w:t>安徽津腾建设工程有限公司</w:t>
            </w:r>
            <w:r>
              <w:rPr>
                <w:rFonts w:ascii="宋体" w:hAnsi="宋体" w:eastAsia="宋体" w:cs="宋体"/>
                <w:sz w:val="24"/>
                <w:szCs w:val="24"/>
              </w:rPr>
              <w:t>退还的投 标保证金后，也无须向</w:t>
            </w:r>
            <w:r>
              <w:rPr>
                <w:rFonts w:hint="eastAsia" w:asciiTheme="minorEastAsia" w:hAnsiTheme="minorEastAsia" w:eastAsiaTheme="minorEastAsia" w:cstheme="minorEastAsia"/>
                <w:color w:val="000000"/>
                <w:sz w:val="24"/>
                <w:szCs w:val="24"/>
                <w:lang w:eastAsia="zh-CN"/>
              </w:rPr>
              <w:t>安徽津腾建设工程有限公司</w:t>
            </w:r>
            <w:r>
              <w:rPr>
                <w:rFonts w:ascii="宋体" w:hAnsi="宋体" w:eastAsia="宋体" w:cs="宋体"/>
                <w:sz w:val="24"/>
                <w:szCs w:val="24"/>
              </w:rPr>
              <w:t>出具收据。</w:t>
            </w:r>
            <w:r>
              <w:rPr>
                <w:rFonts w:hint="eastAsia" w:ascii="宋体" w:hAnsi="宋体" w:eastAsia="宋体" w:cs="宋体"/>
                <w:sz w:val="24"/>
                <w:szCs w:val="24"/>
                <w:lang w:eastAsia="zh-CN"/>
              </w:rPr>
              <w:t>未中标单位投标保证金在开标结果公示后</w:t>
            </w:r>
            <w:r>
              <w:rPr>
                <w:rFonts w:hint="eastAsia" w:ascii="宋体" w:hAnsi="宋体" w:eastAsia="宋体" w:cs="宋体"/>
                <w:sz w:val="24"/>
                <w:szCs w:val="24"/>
                <w:lang w:val="en-US" w:eastAsia="zh-CN"/>
              </w:rPr>
              <w:t>3日内无息退还。</w:t>
            </w:r>
            <w:r>
              <w:rPr>
                <w:rFonts w:ascii="宋体" w:hAnsi="宋体" w:eastAsia="宋体" w:cs="宋体"/>
                <w:sz w:val="24"/>
                <w:szCs w:val="24"/>
              </w:rPr>
              <w:t>有下列情形之一的，投标保证金将不予退还： （1）投标截止后投标人撤销投标文件的； （2）中标人在收到中标通知书后，无正当理由不与招标人订 立合同，在签订合同时向招标人提出附加条件</w:t>
            </w:r>
            <w:r>
              <w:rPr>
                <w:rFonts w:hint="eastAsia" w:ascii="宋体" w:hAnsi="宋体" w:eastAsia="宋体" w:cs="宋体"/>
                <w:sz w:val="24"/>
                <w:szCs w:val="24"/>
                <w:lang w:eastAsia="zh-CN"/>
              </w:rPr>
              <w:t>。</w:t>
            </w:r>
          </w:p>
        </w:tc>
      </w:tr>
      <w:tr>
        <w:tblPrEx>
          <w:tblCellMar>
            <w:top w:w="0" w:type="dxa"/>
            <w:left w:w="108" w:type="dxa"/>
            <w:bottom w:w="0" w:type="dxa"/>
            <w:right w:w="108" w:type="dxa"/>
          </w:tblCellMar>
        </w:tblPrEx>
        <w:trPr>
          <w:trHeight w:val="52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23</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Cs w:val="21"/>
                <w:highlight w:val="none"/>
                <w:u w:val="none" w:color="auto"/>
                <w:lang w:eastAsia="zh-CN"/>
              </w:rPr>
              <w:t>需要补充的其他内容</w:t>
            </w:r>
          </w:p>
        </w:tc>
      </w:tr>
      <w:tr>
        <w:tblPrEx>
          <w:tblCellMar>
            <w:top w:w="0" w:type="dxa"/>
            <w:left w:w="108" w:type="dxa"/>
            <w:bottom w:w="0" w:type="dxa"/>
            <w:right w:w="108" w:type="dxa"/>
          </w:tblCellMar>
        </w:tblPrEx>
        <w:trPr>
          <w:trHeight w:val="112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24</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val="en-US" w:eastAsia="zh-CN"/>
              </w:rPr>
              <w:t>资格审查材料：企业法人营业执照（副本）、企业资质证书、企业安全生产许可证（含联合体企业）；项目负责人相关证件；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59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25</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lang w:eastAsia="zh-CN"/>
              </w:rPr>
            </w:pPr>
            <w:r>
              <w:rPr>
                <w:rFonts w:hint="eastAsia" w:ascii="宋体" w:hAnsi="宋体" w:eastAsia="宋体" w:cs="宋体"/>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26</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lang w:val="en-US" w:eastAsia="zh-CN"/>
              </w:rPr>
            </w:pPr>
            <w:r>
              <w:rPr>
                <w:rFonts w:hint="eastAsia"/>
                <w:lang w:val="en-US" w:eastAsia="zh-CN"/>
              </w:rPr>
              <w:t>1、合同价格形式：☑  固定单价合同，投标单价不予调整。中标总价=中标单价*暂定工程量，结算总价=中标单价*实际工程量；(</w:t>
            </w:r>
            <w:r>
              <w:rPr>
                <w:rFonts w:hint="eastAsia" w:eastAsia="宋体"/>
                <w:lang w:val="en-US" w:eastAsia="zh-CN"/>
              </w:rPr>
              <w:t>门窗</w:t>
            </w:r>
            <w:r>
              <w:rPr>
                <w:rFonts w:hint="eastAsia"/>
                <w:lang w:val="en-US" w:eastAsia="zh-CN"/>
              </w:rPr>
              <w:t>实际工程量按现场实际测量面积)。</w:t>
            </w:r>
          </w:p>
          <w:p>
            <w:pPr>
              <w:spacing w:line="400" w:lineRule="exact"/>
              <w:jc w:val="left"/>
              <w:rPr>
                <w:rFonts w:hint="eastAsia"/>
                <w:lang w:val="en-US" w:eastAsia="zh-CN"/>
              </w:rPr>
            </w:pPr>
            <w:r>
              <w:rPr>
                <w:rFonts w:hint="eastAsia"/>
                <w:lang w:val="en-US" w:eastAsia="zh-CN"/>
              </w:rPr>
              <w:t>2、付款方式：</w:t>
            </w:r>
          </w:p>
          <w:p>
            <w:pPr>
              <w:spacing w:line="400" w:lineRule="exact"/>
              <w:jc w:val="left"/>
              <w:rPr>
                <w:rFonts w:hint="eastAsia"/>
                <w:lang w:val="en-US" w:eastAsia="zh-CN"/>
              </w:rPr>
            </w:pPr>
            <w:r>
              <w:rPr>
                <w:rFonts w:hint="eastAsia"/>
                <w:lang w:val="en-US" w:eastAsia="zh-CN"/>
              </w:rPr>
              <w:t>2.1门窗工程：门窗外框进场全部安装完毕，经甲方确认后支付合同金额的20%；门窗内扇进场全部安装完毕，经甲方确认后支付合同金额的30%；工程竣工验收合格，支付合同金额的20%；工程结算审计完成后，经甲方确认后付至实际完成金额的97%；余款3%作为工程质保金，质保期满后，若无质量问题，无息退还全部质保金；</w:t>
            </w:r>
          </w:p>
        </w:tc>
      </w:tr>
      <w:tr>
        <w:tblPrEx>
          <w:tblCellMar>
            <w:top w:w="0" w:type="dxa"/>
            <w:left w:w="108" w:type="dxa"/>
            <w:bottom w:w="0" w:type="dxa"/>
            <w:right w:w="108" w:type="dxa"/>
          </w:tblCellMar>
        </w:tblPrEx>
        <w:trPr>
          <w:trHeight w:val="99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27</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pStyle w:val="184"/>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cs="宋体"/>
                <w:sz w:val="24"/>
                <w:szCs w:val="24"/>
                <w:lang w:val="en-US" w:eastAsia="zh-CN"/>
              </w:rPr>
            </w:pPr>
            <w:r>
              <w:rPr>
                <w:rFonts w:hint="eastAsia" w:ascii="宋体" w:hAnsi="宋体" w:eastAsia="宋体" w:cs="宋体"/>
                <w:sz w:val="23"/>
                <w:szCs w:val="23"/>
                <w:lang w:val="en-US" w:eastAsia="zh-CN"/>
              </w:rPr>
              <w:t>备注</w:t>
            </w:r>
            <w:r>
              <w:rPr>
                <w:rFonts w:hint="eastAsia" w:ascii="宋体" w:hAnsi="宋体" w:cs="宋体"/>
                <w:sz w:val="23"/>
                <w:szCs w:val="23"/>
                <w:lang w:val="en-US" w:eastAsia="zh-CN"/>
              </w:rPr>
              <w:t>：</w:t>
            </w:r>
            <w:r>
              <w:rPr>
                <w:rFonts w:hint="eastAsia" w:ascii="宋体" w:hAnsi="宋体" w:cs="宋体"/>
                <w:sz w:val="24"/>
                <w:szCs w:val="24"/>
                <w:lang w:val="en-US" w:eastAsia="zh-CN"/>
              </w:rPr>
              <w:t>1、施工单位必须承诺项目负责人、安全员、施工员到岗履行职责，并提供到岗承诺（格式自理），否则做废标处理。</w:t>
            </w:r>
          </w:p>
          <w:p>
            <w:pPr>
              <w:pStyle w:val="184"/>
              <w:keepNext w:val="0"/>
              <w:keepLines w:val="0"/>
              <w:pageBreakBefore w:val="0"/>
              <w:numPr>
                <w:ilvl w:val="0"/>
                <w:numId w:val="0"/>
              </w:numPr>
              <w:kinsoku/>
              <w:wordWrap/>
              <w:overflowPunct/>
              <w:topLinePunct w:val="0"/>
              <w:autoSpaceDE/>
              <w:autoSpaceDN/>
              <w:bidi w:val="0"/>
              <w:adjustRightInd/>
              <w:snapToGrid/>
              <w:spacing w:line="300" w:lineRule="exact"/>
              <w:ind w:firstLine="720" w:firstLineChars="3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2、投标人应自行考察现场，根据勘查情况充分考虑现场环境对工程可能造成的影响，因自身原因未到施工现场实地勘查的，中标后签订合同时和履约过程中，无论何种原因，投标人不得以不完全了解现场为由，提出任何形式的工程造价增加和其他索赔；</w:t>
            </w:r>
          </w:p>
          <w:p>
            <w:pPr>
              <w:pStyle w:val="184"/>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3、根据现有施工场地等实际情况，投标人应充分考虑必须发生和可能发生的费用，如材料、设备的存储堆放、水平运输、垂直运输（包括施工需重新搭设脚手架及可能采用的吊篮使用费）等产生的费用，</w:t>
            </w:r>
            <w:r>
              <w:rPr>
                <w:rFonts w:hint="eastAsia" w:ascii="宋体" w:hAnsi="宋体" w:cs="Times New Roman"/>
                <w:color w:val="333333"/>
                <w:kern w:val="0"/>
                <w:sz w:val="24"/>
                <w:szCs w:val="24"/>
                <w:lang w:eastAsia="zh-CN"/>
              </w:rPr>
              <w:t>纳入总报价中</w:t>
            </w:r>
            <w:r>
              <w:rPr>
                <w:rFonts w:hint="eastAsia" w:ascii="宋体" w:hAnsi="宋体" w:cs="宋体"/>
                <w:sz w:val="24"/>
                <w:szCs w:val="24"/>
                <w:lang w:val="en-US" w:eastAsia="zh-CN"/>
              </w:rPr>
              <w:t>不在计算。</w:t>
            </w:r>
          </w:p>
          <w:p>
            <w:pPr>
              <w:pStyle w:val="184"/>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4、应由投标人承担的各种临时设施费用、施工技术措施费用、安全文明措施费用等辅助工程内容以及各种管理费、劳动保险费、风险费、税金、规费等由投标人自行考虑，不单独报价，视为包含在所报的工程项目总价内。</w:t>
            </w:r>
          </w:p>
          <w:p>
            <w:pPr>
              <w:pStyle w:val="184"/>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5、外墙脚手架费用由投标人在报价中综合考虑，因任何原因中标人搭设的脚手架或自行采用活动脚手架的费用不再计算。</w:t>
            </w:r>
          </w:p>
          <w:p>
            <w:pPr>
              <w:pStyle w:val="184"/>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6、根据国家规范和地方相关规定，必要的工程测试费用，材料测试等所需费用均纳入总报价中不在计算。</w:t>
            </w:r>
          </w:p>
          <w:p>
            <w:pPr>
              <w:pStyle w:val="184"/>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7、所有与</w:t>
            </w:r>
            <w:r>
              <w:rPr>
                <w:rFonts w:hint="eastAsia" w:ascii="宋体" w:hAnsi="宋体" w:eastAsia="宋体" w:cs="Times New Roman"/>
                <w:color w:val="333333"/>
                <w:kern w:val="0"/>
                <w:sz w:val="24"/>
                <w:szCs w:val="24"/>
              </w:rPr>
              <w:t>门窗制作</w:t>
            </w:r>
            <w:r>
              <w:rPr>
                <w:rFonts w:hint="eastAsia" w:ascii="宋体" w:hAnsi="宋体" w:eastAsia="宋体" w:cs="Times New Roman"/>
                <w:color w:val="333333"/>
                <w:kern w:val="0"/>
                <w:sz w:val="24"/>
                <w:szCs w:val="24"/>
                <w:lang w:eastAsia="zh-CN"/>
              </w:rPr>
              <w:t>安装</w:t>
            </w:r>
            <w:r>
              <w:rPr>
                <w:rFonts w:hint="eastAsia" w:ascii="宋体" w:hAnsi="宋体" w:cs="Times New Roman"/>
                <w:color w:val="333333"/>
                <w:kern w:val="0"/>
                <w:sz w:val="24"/>
                <w:szCs w:val="24"/>
                <w:lang w:eastAsia="zh-CN"/>
              </w:rPr>
              <w:t>施工有关联的测量、定位、开孔、开洞、预留孔、检修口、洞口修补等工作有投标人配合完成，其费用纳入总报价中</w:t>
            </w:r>
            <w:r>
              <w:rPr>
                <w:rFonts w:hint="eastAsia" w:ascii="宋体" w:hAnsi="宋体" w:cs="宋体"/>
                <w:sz w:val="24"/>
                <w:szCs w:val="24"/>
                <w:lang w:val="en-US" w:eastAsia="zh-CN"/>
              </w:rPr>
              <w:t>不在计算。</w:t>
            </w:r>
          </w:p>
          <w:p>
            <w:pPr>
              <w:pStyle w:val="184"/>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8、投标人应充分考虑到门窗容易引起的质量问题，在施工过程中采取必要的避免措施，如渗漏水事宜等，工程竣工前，无论何种原因，如门窗有任何损坏等成品保护不到位的现象，中标人都要对其进行修复完好或直至跟换，所需费用</w:t>
            </w:r>
            <w:r>
              <w:rPr>
                <w:rFonts w:hint="eastAsia" w:ascii="宋体" w:hAnsi="宋体" w:cs="Times New Roman"/>
                <w:color w:val="333333"/>
                <w:kern w:val="0"/>
                <w:sz w:val="24"/>
                <w:szCs w:val="24"/>
                <w:lang w:eastAsia="zh-CN"/>
              </w:rPr>
              <w:t>纳入总报价中</w:t>
            </w:r>
            <w:r>
              <w:rPr>
                <w:rFonts w:hint="eastAsia" w:ascii="宋体" w:hAnsi="宋体" w:cs="宋体"/>
                <w:sz w:val="24"/>
                <w:szCs w:val="24"/>
                <w:lang w:val="en-US" w:eastAsia="zh-CN"/>
              </w:rPr>
              <w:t>不在计算。</w:t>
            </w:r>
          </w:p>
          <w:p>
            <w:pPr>
              <w:pStyle w:val="184"/>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9、施工过程中，承包人应做好门窗的成品及半成品的成品保护措施，成品保护费用和清洗费用</w:t>
            </w:r>
            <w:r>
              <w:rPr>
                <w:rFonts w:hint="eastAsia" w:ascii="宋体" w:hAnsi="宋体" w:cs="Times New Roman"/>
                <w:color w:val="333333"/>
                <w:kern w:val="0"/>
                <w:sz w:val="24"/>
                <w:szCs w:val="24"/>
                <w:lang w:eastAsia="zh-CN"/>
              </w:rPr>
              <w:t>纳入总报价中</w:t>
            </w:r>
            <w:r>
              <w:rPr>
                <w:rFonts w:hint="eastAsia" w:ascii="宋体" w:hAnsi="宋体" w:cs="宋体"/>
                <w:sz w:val="24"/>
                <w:szCs w:val="24"/>
                <w:lang w:val="en-US" w:eastAsia="zh-CN"/>
              </w:rPr>
              <w:t>不再计算。</w:t>
            </w:r>
          </w:p>
          <w:p>
            <w:pPr>
              <w:pStyle w:val="184"/>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10、投标人应充分考虑与总包的配合、交接、验收工作，除总分包权利与义务中约定总包职责外，还需要总包方配合所需的费用均</w:t>
            </w:r>
            <w:r>
              <w:rPr>
                <w:rFonts w:hint="eastAsia" w:ascii="宋体" w:hAnsi="宋体" w:cs="Times New Roman"/>
                <w:color w:val="333333"/>
                <w:kern w:val="0"/>
                <w:sz w:val="24"/>
                <w:szCs w:val="24"/>
                <w:lang w:eastAsia="zh-CN"/>
              </w:rPr>
              <w:t>纳入总报价中</w:t>
            </w:r>
            <w:r>
              <w:rPr>
                <w:rFonts w:hint="eastAsia" w:ascii="宋体" w:hAnsi="宋体" w:cs="宋体"/>
                <w:sz w:val="24"/>
                <w:szCs w:val="24"/>
                <w:lang w:val="en-US" w:eastAsia="zh-CN"/>
              </w:rPr>
              <w:t>不在单独计算。</w:t>
            </w:r>
          </w:p>
          <w:p>
            <w:pPr>
              <w:pStyle w:val="184"/>
              <w:numPr>
                <w:ilvl w:val="0"/>
                <w:numId w:val="0"/>
              </w:numPr>
              <w:autoSpaceDE w:val="0"/>
              <w:spacing w:line="3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中标候选人在中标后第一次放弃中标资格，将处以没收</w:t>
            </w:r>
            <w:r>
              <w:rPr>
                <w:rFonts w:hint="eastAsia" w:asciiTheme="minorEastAsia" w:hAnsiTheme="minorEastAsia" w:eastAsiaTheme="minorEastAsia" w:cstheme="minorEastAsia"/>
                <w:sz w:val="24"/>
                <w:szCs w:val="24"/>
                <w:lang w:eastAsia="zh-CN"/>
              </w:rPr>
              <w:t>全额</w:t>
            </w:r>
            <w:r>
              <w:rPr>
                <w:rFonts w:hint="eastAsia" w:asciiTheme="minorEastAsia" w:hAnsiTheme="minorEastAsia" w:eastAsiaTheme="minorEastAsia" w:cstheme="minorEastAsia"/>
                <w:sz w:val="24"/>
                <w:szCs w:val="24"/>
              </w:rPr>
              <w:t>入库保证金，另停止其6个月内不得参与库内投标的处罚。</w:t>
            </w:r>
          </w:p>
          <w:p>
            <w:pPr>
              <w:pStyle w:val="184"/>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中标候选人在中标后第二次放弃中标资格，则列入</w:t>
            </w:r>
            <w:r>
              <w:rPr>
                <w:rFonts w:hint="eastAsia" w:asciiTheme="minorEastAsia" w:hAnsiTheme="minorEastAsia" w:eastAsiaTheme="minorEastAsia" w:cstheme="minorEastAsia"/>
                <w:color w:val="000000"/>
                <w:sz w:val="24"/>
                <w:szCs w:val="24"/>
                <w:shd w:val="clear" w:color="auto" w:fill="FFFFFF"/>
              </w:rPr>
              <w:t>安徽津腾建设工程有限公司</w:t>
            </w:r>
            <w:r>
              <w:rPr>
                <w:rFonts w:hint="eastAsia" w:asciiTheme="minorEastAsia" w:hAnsiTheme="minorEastAsia" w:eastAsiaTheme="minorEastAsia" w:cstheme="minorEastAsia"/>
                <w:color w:val="000000"/>
                <w:sz w:val="24"/>
                <w:szCs w:val="24"/>
                <w:shd w:val="clear" w:color="auto" w:fill="FFFFFF"/>
                <w:lang w:eastAsia="zh-CN"/>
              </w:rPr>
              <w:t>内部</w:t>
            </w:r>
            <w:r>
              <w:rPr>
                <w:rFonts w:hint="eastAsia" w:asciiTheme="minorEastAsia" w:hAnsiTheme="minorEastAsia" w:eastAsiaTheme="minorEastAsia" w:cstheme="minorEastAsia"/>
                <w:color w:val="000000"/>
                <w:sz w:val="24"/>
                <w:szCs w:val="24"/>
                <w:shd w:val="clear" w:color="auto" w:fill="FFFFFF"/>
              </w:rPr>
              <w:t>黑名单，从本公司供应商信息库剔除，后续不</w:t>
            </w:r>
            <w:r>
              <w:rPr>
                <w:rFonts w:hint="eastAsia" w:asciiTheme="minorEastAsia" w:hAnsiTheme="minorEastAsia" w:eastAsiaTheme="minorEastAsia" w:cstheme="minorEastAsia"/>
                <w:color w:val="000000"/>
                <w:sz w:val="24"/>
                <w:szCs w:val="24"/>
                <w:shd w:val="clear" w:color="auto" w:fill="FFFFFF"/>
                <w:lang w:eastAsia="zh-CN"/>
              </w:rPr>
              <w:t>再</w:t>
            </w:r>
            <w:r>
              <w:rPr>
                <w:rFonts w:hint="eastAsia" w:asciiTheme="minorEastAsia" w:hAnsiTheme="minorEastAsia" w:eastAsiaTheme="minorEastAsia" w:cstheme="minorEastAsia"/>
                <w:color w:val="000000"/>
                <w:sz w:val="24"/>
                <w:szCs w:val="24"/>
                <w:shd w:val="clear" w:color="auto" w:fill="FFFFFF"/>
              </w:rPr>
              <w:t>接受其入库申请。</w:t>
            </w:r>
          </w:p>
          <w:p>
            <w:pPr>
              <w:spacing w:line="400" w:lineRule="exact"/>
              <w:ind w:firstLine="720" w:firstLineChars="300"/>
              <w:jc w:val="left"/>
              <w:rPr>
                <w:rFonts w:hint="default"/>
                <w:lang w:val="en-US" w:eastAsia="zh-CN"/>
              </w:rPr>
            </w:pPr>
          </w:p>
        </w:tc>
      </w:tr>
    </w:tbl>
    <w:p>
      <w:pPr>
        <w:spacing w:line="400" w:lineRule="exact"/>
        <w:ind w:firstLine="480" w:firstLineChars="200"/>
        <w:jc w:val="left"/>
        <w:rPr>
          <w:rFonts w:hint="eastAsia" w:ascii="宋体" w:hAnsi="宋体" w:eastAsia="宋体" w:cs="宋体"/>
          <w:szCs w:val="21"/>
        </w:rPr>
      </w:pPr>
      <w:r>
        <w:rPr>
          <w:rFonts w:hint="eastAsia" w:ascii="宋体" w:hAnsi="宋体" w:eastAsia="宋体" w:cs="宋体"/>
          <w:szCs w:val="21"/>
        </w:rPr>
        <w:t>注：1、本表内容与其他部分不一致时，以此表为准。</w:t>
      </w:r>
    </w:p>
    <w:p>
      <w:pPr>
        <w:widowControl/>
        <w:numPr>
          <w:ilvl w:val="0"/>
          <w:numId w:val="0"/>
        </w:numPr>
        <w:spacing w:line="360" w:lineRule="auto"/>
        <w:jc w:val="center"/>
        <w:rPr>
          <w:rFonts w:hint="eastAsia" w:ascii="宋体" w:hAnsi="宋体" w:eastAsia="宋体" w:cs="宋体"/>
          <w:szCs w:val="21"/>
        </w:rPr>
      </w:pPr>
    </w:p>
    <w:p>
      <w:pPr>
        <w:rPr>
          <w:rFonts w:hint="eastAsia"/>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第三章 投标文件</w:t>
      </w:r>
      <w:r>
        <w:rPr>
          <w:rFonts w:hint="eastAsia" w:ascii="宋体" w:hAnsi="宋体" w:eastAsia="宋体" w:cs="宋体"/>
          <w:b/>
          <w:sz w:val="28"/>
          <w:szCs w:val="28"/>
        </w:rPr>
        <w:t>的组成</w:t>
      </w:r>
    </w:p>
    <w:p>
      <w:pPr>
        <w:ind w:firstLine="481" w:firstLineChars="171"/>
        <w:jc w:val="center"/>
        <w:rPr>
          <w:rFonts w:hint="eastAsia" w:ascii="宋体" w:hAnsi="宋体" w:eastAsia="宋体" w:cs="宋体"/>
          <w:sz w:val="24"/>
          <w:szCs w:val="24"/>
        </w:rPr>
      </w:pPr>
      <w:bookmarkStart w:id="22" w:name="_Toc246996935"/>
      <w:bookmarkStart w:id="23" w:name="_Toc152042323"/>
      <w:bookmarkStart w:id="24" w:name="_Toc144974515"/>
      <w:bookmarkStart w:id="25" w:name="_Toc179632565"/>
      <w:bookmarkStart w:id="26" w:name="_Toc152045547"/>
      <w:bookmarkStart w:id="27" w:name="_Toc246996192"/>
      <w:bookmarkStart w:id="28" w:name="_Toc296602437"/>
      <w:bookmarkStart w:id="29" w:name="_Toc247085706"/>
      <w:r>
        <w:rPr>
          <w:rFonts w:hint="eastAsia" w:ascii="宋体" w:hAnsi="宋体" w:eastAsia="宋体" w:cs="宋体"/>
          <w:b/>
          <w:sz w:val="28"/>
          <w:szCs w:val="28"/>
        </w:rPr>
        <w:t>3.1投标文件的组成</w:t>
      </w:r>
      <w:bookmarkEnd w:id="22"/>
      <w:bookmarkEnd w:id="23"/>
      <w:bookmarkEnd w:id="24"/>
      <w:bookmarkEnd w:id="25"/>
      <w:bookmarkEnd w:id="26"/>
      <w:bookmarkEnd w:id="27"/>
      <w:bookmarkEnd w:id="28"/>
      <w:bookmarkEnd w:id="29"/>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1、投标函；</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2、法定代表人身份证复印件或委托人身份证复印件（加盖单位公章）；</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3、授权委托书</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4、报价表</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5、企业法人营业执照（副本）、企业资质证书、企业安全生产许可证</w:t>
      </w:r>
      <w:r>
        <w:rPr>
          <w:rFonts w:hint="eastAsia" w:ascii="宋体" w:hAnsi="宋体" w:eastAsia="宋体" w:cs="宋体"/>
          <w:sz w:val="23"/>
          <w:szCs w:val="23"/>
          <w:lang w:val="en-US" w:eastAsia="zh-CN"/>
        </w:rPr>
        <w:t>（含联合体企业）</w:t>
      </w:r>
      <w:r>
        <w:rPr>
          <w:rFonts w:hint="eastAsia" w:ascii="宋体" w:hAnsi="宋体" w:eastAsia="宋体" w:cs="宋体"/>
          <w:sz w:val="24"/>
          <w:szCs w:val="24"/>
          <w:lang w:val="en-US" w:eastAsia="zh-CN"/>
        </w:rPr>
        <w:t>；项目负责人相关证书；</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、本项目技术人员一览表；</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、投标人应附的其他材料。</w:t>
      </w:r>
    </w:p>
    <w:p>
      <w:pPr>
        <w:jc w:val="left"/>
        <w:rPr>
          <w:rFonts w:hint="eastAsia" w:ascii="宋体" w:hAnsi="宋体" w:eastAsia="宋体" w:cs="宋体"/>
          <w:lang w:eastAsia="zh-CN"/>
        </w:rPr>
      </w:pPr>
    </w:p>
    <w:p>
      <w:pPr>
        <w:jc w:val="both"/>
        <w:rPr>
          <w:rFonts w:hint="eastAsia" w:ascii="宋体" w:hAnsi="宋体" w:eastAsia="宋体" w:cs="宋体"/>
        </w:rPr>
      </w:pPr>
    </w:p>
    <w:p>
      <w:pPr>
        <w:pStyle w:val="3"/>
        <w:keepNext w:val="0"/>
        <w:keepLines w:val="0"/>
        <w:spacing w:line="400" w:lineRule="exact"/>
        <w:jc w:val="cente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rPr>
      </w:pPr>
    </w:p>
    <w:p>
      <w:pPr>
        <w:pStyle w:val="3"/>
        <w:keepNext w:val="0"/>
        <w:keepLines w:val="0"/>
        <w:numPr>
          <w:ilvl w:val="0"/>
          <w:numId w:val="2"/>
        </w:numPr>
        <w:spacing w:line="400" w:lineRule="exact"/>
        <w:jc w:val="center"/>
        <w:rPr>
          <w:rFonts w:hint="eastAsia" w:ascii="宋体" w:hAnsi="宋体" w:eastAsia="宋体" w:cs="宋体"/>
          <w:sz w:val="32"/>
          <w:szCs w:val="32"/>
        </w:rPr>
      </w:pPr>
      <w:r>
        <w:rPr>
          <w:rFonts w:hint="eastAsia" w:ascii="宋体" w:hAnsi="宋体" w:eastAsia="宋体" w:cs="宋体"/>
          <w:sz w:val="32"/>
          <w:szCs w:val="32"/>
        </w:rPr>
        <w:t xml:space="preserve"> 评标办法</w:t>
      </w:r>
    </w:p>
    <w:p>
      <w:pPr>
        <w:widowControl/>
        <w:jc w:val="left"/>
        <w:rPr>
          <w:rFonts w:ascii="宋体" w:hAnsi="宋体" w:eastAsia="宋体" w:cs="宋体"/>
          <w:kern w:val="0"/>
          <w:sz w:val="24"/>
          <w:szCs w:val="24"/>
        </w:rPr>
      </w:pPr>
      <w:r>
        <w:rPr>
          <w:rFonts w:hint="eastAsia" w:ascii="仿宋" w:hAnsi="仿宋" w:eastAsia="仿宋" w:cs="仿宋"/>
          <w:b w:val="0"/>
          <w:bCs w:val="0"/>
          <w:color w:val="000000"/>
          <w:kern w:val="0"/>
          <w:sz w:val="23"/>
          <w:szCs w:val="23"/>
          <w:highlight w:val="none"/>
          <w:lang w:val="en-US" w:eastAsia="zh-CN" w:bidi="ar-SA"/>
        </w:rPr>
        <w:t xml:space="preserve">  </w:t>
      </w:r>
      <w:r>
        <w:rPr>
          <w:rFonts w:hint="eastAsia" w:ascii="黑体" w:hAnsi="黑体" w:eastAsia="黑体" w:cs="宋体"/>
          <w:color w:val="000000"/>
          <w:kern w:val="0"/>
          <w:sz w:val="29"/>
          <w:szCs w:val="29"/>
        </w:rPr>
        <w:t xml:space="preserve">综合评分法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1.1.1评标办法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中标候选人排序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方法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评标委员会根据通过初步评审按评审的投标人的综合得分由高到低顺序依次推荐 1-3 名中标候选人。当出现多家投标人的综合得分相同时，以投标报价低的优先，投标报价评分相同的，以业绩评分高的优先，投标报价还相同的，评标委员会采用随机抽取方法确定排名顺序。  </w:t>
      </w:r>
    </w:p>
    <w:p>
      <w:pPr>
        <w:widowControl/>
        <w:jc w:val="left"/>
        <w:rPr>
          <w:rFonts w:ascii="宋体" w:hAnsi="宋体" w:eastAsia="宋体" w:cs="宋体"/>
          <w:kern w:val="0"/>
          <w:sz w:val="24"/>
          <w:szCs w:val="24"/>
        </w:rPr>
      </w:pPr>
      <w:r>
        <w:rPr>
          <w:rFonts w:ascii="Calibri" w:hAnsi="Calibri" w:eastAsia="宋体" w:cs="宋体"/>
          <w:color w:val="000000"/>
          <w:kern w:val="0"/>
          <w:szCs w:val="21"/>
        </w:rPr>
        <w:t xml:space="preserve">2.2.1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分值构成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Calibri" w:hAnsi="Calibri" w:eastAsia="宋体" w:cs="宋体"/>
          <w:color w:val="000000"/>
          <w:kern w:val="0"/>
          <w:szCs w:val="21"/>
        </w:rPr>
        <w:t xml:space="preserve">100 </w:t>
      </w:r>
      <w:r>
        <w:rPr>
          <w:rFonts w:hint="eastAsia" w:ascii="宋体" w:hAnsi="宋体" w:eastAsia="宋体" w:cs="宋体"/>
          <w:color w:val="000000"/>
          <w:kern w:val="0"/>
          <w:szCs w:val="21"/>
        </w:rPr>
        <w:t xml:space="preserve">分）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投标报价： </w:t>
      </w:r>
      <w:r>
        <w:rPr>
          <w:rFonts w:hint="eastAsia" w:ascii="宋体" w:hAnsi="宋体" w:eastAsia="宋体" w:cs="宋体"/>
          <w:color w:val="0000FF"/>
          <w:kern w:val="0"/>
          <w:szCs w:val="21"/>
        </w:rPr>
        <w:t xml:space="preserve">97 </w:t>
      </w:r>
      <w:r>
        <w:rPr>
          <w:rFonts w:hint="eastAsia" w:ascii="宋体" w:hAnsi="宋体" w:eastAsia="宋体" w:cs="宋体"/>
          <w:color w:val="000000"/>
          <w:kern w:val="0"/>
          <w:szCs w:val="21"/>
        </w:rPr>
        <w:t xml:space="preserve">分；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业绩： </w:t>
      </w:r>
      <w:r>
        <w:rPr>
          <w:rFonts w:hint="eastAsia" w:ascii="宋体" w:hAnsi="宋体" w:eastAsia="宋体" w:cs="宋体"/>
          <w:color w:val="0000FF"/>
          <w:kern w:val="0"/>
          <w:szCs w:val="21"/>
        </w:rPr>
        <w:t>3</w:t>
      </w:r>
      <w:r>
        <w:rPr>
          <w:rFonts w:hint="eastAsia" w:ascii="宋体" w:hAnsi="宋体" w:eastAsia="宋体" w:cs="宋体"/>
          <w:color w:val="000000"/>
          <w:kern w:val="0"/>
          <w:szCs w:val="21"/>
        </w:rPr>
        <w:t xml:space="preserve">分； </w:t>
      </w:r>
    </w:p>
    <w:p>
      <w:pPr>
        <w:widowControl/>
        <w:jc w:val="left"/>
        <w:rPr>
          <w:rFonts w:ascii="宋体" w:hAnsi="宋体" w:eastAsia="宋体" w:cs="宋体"/>
          <w:kern w:val="0"/>
          <w:sz w:val="24"/>
          <w:szCs w:val="24"/>
        </w:rPr>
      </w:pPr>
      <w:r>
        <w:rPr>
          <w:rFonts w:ascii="Calibri" w:hAnsi="Calibri" w:eastAsia="宋体" w:cs="宋体"/>
          <w:color w:val="000000"/>
          <w:kern w:val="0"/>
          <w:szCs w:val="21"/>
        </w:rPr>
        <w:t xml:space="preserve">2.2.2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评标基准值计算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方法确定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有效投标报价</w:t>
      </w:r>
      <w:r>
        <w:rPr>
          <w:rFonts w:hint="eastAsia" w:ascii="宋体" w:hAnsi="宋体" w:eastAsia="宋体" w:cs="宋体"/>
          <w:color w:val="000000"/>
          <w:kern w:val="0"/>
          <w:szCs w:val="21"/>
          <w:lang w:eastAsia="zh-CN"/>
        </w:rPr>
        <w:t>总价</w:t>
      </w:r>
      <w:r>
        <w:rPr>
          <w:rFonts w:hint="eastAsia" w:ascii="宋体" w:hAnsi="宋体" w:eastAsia="宋体" w:cs="宋体"/>
          <w:color w:val="000000"/>
          <w:kern w:val="0"/>
          <w:szCs w:val="21"/>
        </w:rPr>
        <w:t>的算数平均值</w:t>
      </w:r>
      <w:r>
        <w:rPr>
          <w:rFonts w:hint="eastAsia" w:ascii="宋体" w:hAnsi="宋体" w:eastAsia="宋体" w:cs="宋体"/>
          <w:b/>
          <w:bCs/>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b/>
          <w:bCs/>
          <w:color w:val="000000"/>
          <w:kern w:val="0"/>
          <w:szCs w:val="21"/>
        </w:rPr>
        <w:t xml:space="preserve">评审标准 </w:t>
      </w:r>
      <w:r>
        <w:rPr>
          <w:rFonts w:hint="eastAsia" w:ascii="宋体" w:hAnsi="宋体"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投标报价 </w:t>
      </w:r>
      <w:r>
        <w:rPr>
          <w:rFonts w:hint="eastAsia" w:ascii="宋体" w:hAnsi="宋体" w:eastAsia="宋体" w:cs="宋体"/>
          <w:kern w:val="0"/>
          <w:sz w:val="24"/>
          <w:szCs w:val="24"/>
        </w:rPr>
        <w:t>：</w:t>
      </w:r>
      <w:r>
        <w:rPr>
          <w:rFonts w:hint="eastAsia" w:ascii="宋体" w:hAnsi="宋体" w:eastAsia="宋体" w:cs="宋体"/>
          <w:color w:val="000000"/>
          <w:kern w:val="0"/>
          <w:szCs w:val="21"/>
        </w:rPr>
        <w:t xml:space="preserve">97.00 分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1、投标报价等于评标基准值的得 97 分，每低于评标基准值 1%的扣 1 分 每高于评标基准值 1%的扣 </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 xml:space="preserve">分， 扣完为止。投标报价分值=97-[|(投标报价-评标基准值)|/评标 基准值*100]*X（X 为上述对应数值）。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2 业绩得分 </w:t>
      </w:r>
      <w:r>
        <w:rPr>
          <w:rFonts w:hint="eastAsia" w:ascii="宋体" w:hAnsi="宋体" w:eastAsia="宋体" w:cs="宋体"/>
          <w:kern w:val="0"/>
          <w:sz w:val="24"/>
          <w:szCs w:val="24"/>
        </w:rPr>
        <w:t>：</w:t>
      </w:r>
      <w:r>
        <w:rPr>
          <w:rFonts w:hint="eastAsia" w:ascii="宋体" w:hAnsi="宋体" w:eastAsia="宋体" w:cs="宋体"/>
          <w:color w:val="000000"/>
          <w:kern w:val="0"/>
          <w:szCs w:val="21"/>
        </w:rPr>
        <w:t xml:space="preserve">3.00 </w:t>
      </w:r>
    </w:p>
    <w:p>
      <w:pPr>
        <w:widowControl/>
        <w:ind w:firstLine="48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需提供</w:t>
      </w:r>
      <w:r>
        <w:rPr>
          <w:rFonts w:hint="eastAsia" w:ascii="宋体" w:hAnsi="宋体" w:eastAsia="宋体" w:cs="宋体"/>
          <w:color w:val="000000"/>
          <w:kern w:val="0"/>
          <w:szCs w:val="21"/>
          <w:lang w:val="en-US" w:eastAsia="zh-CN"/>
        </w:rPr>
        <w:t>5年内</w:t>
      </w:r>
      <w:r>
        <w:rPr>
          <w:rFonts w:hint="eastAsia" w:ascii="宋体" w:hAnsi="宋体" w:eastAsia="宋体" w:cs="宋体"/>
          <w:color w:val="000000"/>
          <w:kern w:val="0"/>
          <w:szCs w:val="21"/>
        </w:rPr>
        <w:t>门窗</w:t>
      </w:r>
      <w:r>
        <w:rPr>
          <w:rFonts w:hint="eastAsia" w:ascii="宋体" w:hAnsi="宋体" w:eastAsia="宋体" w:cs="宋体"/>
          <w:color w:val="000000"/>
          <w:kern w:val="0"/>
          <w:szCs w:val="21"/>
          <w:lang w:val="en-US" w:eastAsia="zh-CN"/>
        </w:rPr>
        <w:t>工程制作及安装</w:t>
      </w:r>
      <w:r>
        <w:rPr>
          <w:rFonts w:hint="eastAsia" w:ascii="宋体" w:hAnsi="宋体" w:eastAsia="宋体" w:cs="宋体"/>
          <w:color w:val="000000"/>
          <w:kern w:val="0"/>
          <w:szCs w:val="21"/>
        </w:rPr>
        <w:t>业绩</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提供的业绩</w:t>
      </w:r>
      <w:r>
        <w:rPr>
          <w:rFonts w:hint="eastAsia" w:ascii="宋体" w:hAnsi="宋体" w:eastAsia="宋体" w:cs="宋体"/>
          <w:color w:val="000000"/>
          <w:kern w:val="0"/>
          <w:szCs w:val="21"/>
        </w:rPr>
        <w:t>合同</w:t>
      </w:r>
      <w:r>
        <w:rPr>
          <w:rFonts w:hint="eastAsia" w:ascii="宋体" w:hAnsi="宋体" w:eastAsia="宋体" w:cs="宋体"/>
          <w:color w:val="000000"/>
          <w:kern w:val="0"/>
          <w:szCs w:val="21"/>
          <w:lang w:val="en-US" w:eastAsia="zh-CN"/>
        </w:rPr>
        <w:t>总额需达到65</w:t>
      </w:r>
      <w:bookmarkStart w:id="38" w:name="_GoBack"/>
      <w:bookmarkEnd w:id="38"/>
      <w:r>
        <w:rPr>
          <w:rFonts w:hint="eastAsia" w:ascii="宋体" w:hAnsi="宋体" w:eastAsia="宋体" w:cs="宋体"/>
          <w:color w:val="000000"/>
          <w:kern w:val="0"/>
          <w:szCs w:val="21"/>
        </w:rPr>
        <w:t>万</w:t>
      </w:r>
      <w:r>
        <w:rPr>
          <w:rFonts w:hint="eastAsia" w:ascii="宋体" w:hAnsi="宋体" w:eastAsia="宋体" w:cs="宋体"/>
          <w:color w:val="000000"/>
          <w:kern w:val="0"/>
          <w:szCs w:val="21"/>
          <w:lang w:eastAsia="zh-CN"/>
        </w:rPr>
        <w:t>以上，每个</w:t>
      </w:r>
      <w:r>
        <w:rPr>
          <w:rFonts w:hint="eastAsia" w:ascii="宋体" w:hAnsi="宋体" w:eastAsia="宋体" w:cs="宋体"/>
          <w:color w:val="000000"/>
          <w:kern w:val="0"/>
          <w:szCs w:val="21"/>
          <w:lang w:val="en-US" w:eastAsia="zh-CN"/>
        </w:rPr>
        <w:t>业绩1.5</w:t>
      </w:r>
      <w:r>
        <w:rPr>
          <w:rFonts w:hint="eastAsia" w:ascii="宋体" w:hAnsi="宋体" w:eastAsia="宋体" w:cs="宋体"/>
          <w:color w:val="000000"/>
          <w:kern w:val="0"/>
          <w:szCs w:val="21"/>
        </w:rPr>
        <w:t>分，最高3分，需提供</w:t>
      </w:r>
      <w:r>
        <w:rPr>
          <w:rFonts w:hint="eastAsia" w:ascii="宋体" w:hAnsi="宋体" w:eastAsia="宋体" w:cs="宋体"/>
          <w:color w:val="000000"/>
          <w:kern w:val="0"/>
          <w:szCs w:val="21"/>
          <w:lang w:val="en-US" w:eastAsia="zh-CN"/>
        </w:rPr>
        <w:t>承揽</w:t>
      </w:r>
      <w:r>
        <w:rPr>
          <w:rFonts w:hint="eastAsia" w:ascii="宋体" w:hAnsi="宋体" w:eastAsia="宋体" w:cs="宋体"/>
          <w:color w:val="000000"/>
          <w:kern w:val="0"/>
          <w:szCs w:val="21"/>
        </w:rPr>
        <w:t>合同、竣工验收报告，如发现弄虚作假，作为废标处理。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default"/>
          <w:lang w:val="en-US"/>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rPr>
      </w:pPr>
    </w:p>
    <w:p>
      <w:pPr>
        <w:rPr>
          <w:rFonts w:hint="eastAsia"/>
        </w:rPr>
      </w:pPr>
    </w:p>
    <w:p>
      <w:pPr>
        <w:pStyle w:val="202"/>
        <w:widowControl w:val="0"/>
        <w:spacing w:before="0" w:beforeAutospacing="0" w:after="0" w:afterAutospacing="0" w:line="550" w:lineRule="exact"/>
        <w:jc w:val="both"/>
        <w:rPr>
          <w:rFonts w:hint="eastAsia" w:ascii="仿宋" w:hAnsi="仿宋" w:eastAsia="仿宋" w:cs="仿宋"/>
          <w:b/>
          <w:color w:val="000000"/>
          <w:sz w:val="23"/>
          <w:szCs w:val="23"/>
        </w:rPr>
      </w:pPr>
    </w:p>
    <w:p>
      <w:pPr>
        <w:pStyle w:val="202"/>
        <w:widowControl w:val="0"/>
        <w:spacing w:before="0" w:beforeAutospacing="0" w:after="0" w:afterAutospacing="0" w:line="550" w:lineRule="exact"/>
        <w:ind w:firstLine="462" w:firstLineChars="200"/>
        <w:jc w:val="center"/>
        <w:rPr>
          <w:rFonts w:hint="eastAsia" w:ascii="仿宋" w:hAnsi="仿宋" w:eastAsia="仿宋" w:cs="仿宋"/>
          <w:b/>
          <w:color w:val="000000"/>
          <w:sz w:val="23"/>
          <w:szCs w:val="23"/>
        </w:rPr>
      </w:pPr>
    </w:p>
    <w:p>
      <w:pPr>
        <w:pStyle w:val="202"/>
        <w:widowControl w:val="0"/>
        <w:spacing w:before="0" w:beforeAutospacing="0" w:after="0" w:afterAutospacing="0" w:line="550" w:lineRule="exact"/>
        <w:ind w:firstLine="462" w:firstLineChars="200"/>
        <w:jc w:val="center"/>
        <w:rPr>
          <w:rFonts w:hint="eastAsia" w:ascii="仿宋" w:hAnsi="仿宋" w:eastAsia="仿宋" w:cs="仿宋"/>
          <w:b/>
          <w:color w:val="000000"/>
          <w:sz w:val="23"/>
          <w:szCs w:val="23"/>
        </w:rPr>
      </w:pPr>
    </w:p>
    <w:p>
      <w:pPr>
        <w:pStyle w:val="202"/>
        <w:widowControl w:val="0"/>
        <w:spacing w:before="0" w:beforeAutospacing="0" w:after="0" w:afterAutospacing="0" w:line="550" w:lineRule="exact"/>
        <w:ind w:firstLine="462" w:firstLineChars="200"/>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表一、资格评审标准</w:t>
      </w:r>
    </w:p>
    <w:p>
      <w:pPr>
        <w:spacing w:line="550" w:lineRule="exact"/>
        <w:rPr>
          <w:rFonts w:hint="eastAsia" w:ascii="仿宋" w:hAnsi="仿宋" w:eastAsia="仿宋" w:cs="仿宋"/>
          <w:color w:val="000000"/>
          <w:sz w:val="23"/>
          <w:szCs w:val="23"/>
          <w:u w:val="double"/>
        </w:rPr>
      </w:pPr>
      <w:r>
        <w:rPr>
          <w:rFonts w:hint="eastAsia" w:ascii="仿宋" w:hAnsi="仿宋" w:eastAsia="仿宋" w:cs="仿宋"/>
          <w:color w:val="000000"/>
          <w:sz w:val="23"/>
          <w:szCs w:val="23"/>
          <w:u w:val="double"/>
        </w:rPr>
        <w:t>评标委员会对投标人的资格标进行符合性评审，评审结论分为“合格”与“不合格”。资格标不合格的投标文件不再进行后续评审。</w:t>
      </w:r>
    </w:p>
    <w:tbl>
      <w:tblPr>
        <w:tblStyle w:val="42"/>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63"/>
        <w:gridCol w:w="2909"/>
        <w:gridCol w:w="38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评审名称</w:t>
            </w:r>
          </w:p>
        </w:tc>
        <w:tc>
          <w:tcPr>
            <w:tcW w:w="3372" w:type="dxa"/>
            <w:gridSpan w:val="2"/>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评审因素</w:t>
            </w:r>
          </w:p>
        </w:tc>
        <w:tc>
          <w:tcPr>
            <w:tcW w:w="3860"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评审标准</w:t>
            </w:r>
          </w:p>
        </w:tc>
        <w:tc>
          <w:tcPr>
            <w:tcW w:w="1144"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restart"/>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资格评</w:t>
            </w:r>
          </w:p>
          <w:p>
            <w:pPr>
              <w:spacing w:line="550" w:lineRule="exact"/>
              <w:jc w:val="center"/>
              <w:rPr>
                <w:rFonts w:hint="eastAsia" w:ascii="仿宋" w:hAnsi="仿宋" w:eastAsia="仿宋" w:cs="仿宋"/>
                <w:b/>
                <w:color w:val="000000"/>
                <w:sz w:val="23"/>
                <w:szCs w:val="23"/>
              </w:rPr>
            </w:pPr>
            <w:r>
              <w:rPr>
                <w:rFonts w:hint="eastAsia" w:ascii="仿宋" w:hAnsi="仿宋" w:eastAsia="仿宋" w:cs="仿宋"/>
                <w:color w:val="000000"/>
                <w:sz w:val="23"/>
                <w:szCs w:val="23"/>
              </w:rPr>
              <w:t>审标准</w:t>
            </w: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1</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资格要求</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jc w:val="center"/>
              <w:rPr>
                <w:rFonts w:hint="eastAsia" w:ascii="仿宋" w:hAnsi="仿宋" w:eastAsia="仿宋" w:cs="仿宋"/>
                <w:b/>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center"/>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2</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营业执照</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具备有效的营业执照</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3</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安全生产许可证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具备有效的安全生产许可证（如有）</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4</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法人授权委托书、被授权人身份证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5</w:t>
            </w:r>
          </w:p>
        </w:tc>
        <w:tc>
          <w:tcPr>
            <w:tcW w:w="2909" w:type="dxa"/>
            <w:noWrap w:val="0"/>
            <w:vAlign w:val="center"/>
          </w:tcPr>
          <w:p>
            <w:pPr>
              <w:spacing w:line="550" w:lineRule="exact"/>
              <w:jc w:val="center"/>
              <w:rPr>
                <w:rFonts w:hint="eastAsia" w:ascii="仿宋" w:hAnsi="仿宋" w:eastAsia="仿宋" w:cs="仿宋"/>
                <w:color w:val="000000"/>
                <w:sz w:val="23"/>
                <w:szCs w:val="23"/>
                <w:lang w:eastAsia="zh-CN" w:bidi="ar-SA"/>
              </w:rPr>
            </w:pPr>
            <w:r>
              <w:rPr>
                <w:rFonts w:hint="eastAsia" w:ascii="仿宋" w:hAnsi="仿宋" w:eastAsia="仿宋" w:cs="仿宋"/>
                <w:color w:val="000000"/>
                <w:sz w:val="23"/>
                <w:szCs w:val="23"/>
                <w:lang w:eastAsia="zh-CN" w:bidi="ar-SA"/>
              </w:rPr>
              <w:t>企业资质证书</w:t>
            </w:r>
          </w:p>
        </w:tc>
        <w:tc>
          <w:tcPr>
            <w:tcW w:w="3860" w:type="dxa"/>
            <w:noWrap w:val="0"/>
            <w:vAlign w:val="center"/>
          </w:tcPr>
          <w:p>
            <w:pPr>
              <w:spacing w:line="550" w:lineRule="exact"/>
              <w:jc w:val="center"/>
              <w:rPr>
                <w:rFonts w:hint="eastAsia" w:ascii="仿宋" w:hAnsi="仿宋" w:eastAsia="仿宋" w:cs="仿宋"/>
                <w:b/>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rPr>
                <w:rFonts w:hint="eastAsia" w:ascii="仿宋" w:hAnsi="仿宋" w:eastAsia="仿宋" w:cs="仿宋"/>
                <w:color w:val="000000"/>
                <w:sz w:val="23"/>
                <w:szCs w:val="23"/>
              </w:rPr>
            </w:pPr>
          </w:p>
        </w:tc>
        <w:tc>
          <w:tcPr>
            <w:tcW w:w="463" w:type="dxa"/>
            <w:noWrap w:val="0"/>
            <w:vAlign w:val="center"/>
          </w:tcPr>
          <w:p>
            <w:pPr>
              <w:spacing w:line="550" w:lineRule="exact"/>
              <w:rPr>
                <w:rFonts w:hint="eastAsia" w:ascii="仿宋" w:hAnsi="仿宋" w:eastAsia="仿宋" w:cs="仿宋"/>
                <w:color w:val="000000"/>
                <w:sz w:val="23"/>
                <w:szCs w:val="23"/>
                <w:lang w:val="en-US" w:eastAsia="zh-CN"/>
              </w:rPr>
            </w:pPr>
            <w:r>
              <w:rPr>
                <w:rFonts w:hint="eastAsia" w:ascii="仿宋" w:hAnsi="仿宋" w:eastAsia="仿宋" w:cs="仿宋"/>
                <w:color w:val="000000"/>
                <w:sz w:val="23"/>
                <w:szCs w:val="23"/>
                <w:lang w:val="en-US" w:eastAsia="zh-CN"/>
              </w:rPr>
              <w:t>6</w:t>
            </w:r>
          </w:p>
        </w:tc>
        <w:tc>
          <w:tcPr>
            <w:tcW w:w="2909" w:type="dxa"/>
            <w:noWrap w:val="0"/>
            <w:vAlign w:val="top"/>
          </w:tcPr>
          <w:p>
            <w:pPr>
              <w:spacing w:line="550" w:lineRule="exact"/>
              <w:rPr>
                <w:rFonts w:hint="eastAsia" w:ascii="仿宋" w:hAnsi="仿宋" w:eastAsia="仿宋" w:cs="仿宋"/>
                <w:color w:val="000000"/>
                <w:sz w:val="23"/>
                <w:szCs w:val="23"/>
              </w:rPr>
            </w:pPr>
            <w:r>
              <w:rPr>
                <w:rFonts w:hint="eastAsia" w:ascii="仿宋" w:hAnsi="仿宋" w:eastAsia="仿宋" w:cs="仿宋"/>
                <w:color w:val="000000"/>
                <w:sz w:val="23"/>
                <w:szCs w:val="23"/>
              </w:rPr>
              <w:t>其他要求（如有）</w:t>
            </w:r>
          </w:p>
        </w:tc>
        <w:tc>
          <w:tcPr>
            <w:tcW w:w="3860" w:type="dxa"/>
            <w:noWrap w:val="0"/>
            <w:vAlign w:val="center"/>
          </w:tcPr>
          <w:p>
            <w:pPr>
              <w:spacing w:line="550" w:lineRule="exact"/>
              <w:rPr>
                <w:rFonts w:hint="eastAsia" w:ascii="仿宋" w:hAnsi="仿宋" w:eastAsia="仿宋" w:cs="仿宋"/>
                <w:color w:val="000000"/>
                <w:sz w:val="23"/>
                <w:szCs w:val="23"/>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08" w:type="dxa"/>
            <w:gridSpan w:val="4"/>
            <w:noWrap w:val="0"/>
            <w:vAlign w:val="center"/>
          </w:tcPr>
          <w:p>
            <w:pPr>
              <w:spacing w:line="550" w:lineRule="exact"/>
              <w:jc w:val="center"/>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bl>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ermStart w:id="0" w:edGrp="everyone"/>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Theme="minorEastAsia" w:hAnsiTheme="minorEastAsia" w:eastAsiaTheme="minorEastAsia" w:cstheme="minorEastAsia"/>
          <w:color w:val="000000"/>
          <w:sz w:val="22"/>
          <w:szCs w:val="22"/>
          <w:highlight w:val="none"/>
          <w:u w:val="double"/>
        </w:rPr>
      </w:pPr>
      <w:r>
        <w:rPr>
          <w:rFonts w:hint="eastAsia" w:asciiTheme="minorEastAsia" w:hAnsiTheme="minorEastAsia" w:eastAsiaTheme="minorEastAsia" w:cstheme="minorEastAsia"/>
          <w:color w:val="000000"/>
          <w:sz w:val="22"/>
          <w:szCs w:val="22"/>
          <w:highlight w:val="none"/>
          <w:u w:val="double"/>
        </w:rPr>
        <w:t>评委会对通过资格审查的投标文件作进一步的评审。评审的基本步骤和基本要求如下：</w:t>
      </w:r>
    </w:p>
    <w:p>
      <w:pPr>
        <w:spacing w:line="550" w:lineRule="exact"/>
        <w:ind w:firstLine="440" w:firstLineChars="200"/>
        <w:rPr>
          <w:rFonts w:hint="eastAsia" w:asciiTheme="minorEastAsia" w:hAnsiTheme="minorEastAsia" w:eastAsiaTheme="minorEastAsia" w:cstheme="minorEastAsia"/>
          <w:b w:val="0"/>
          <w:bCs w:val="0"/>
          <w:color w:val="000000"/>
          <w:sz w:val="22"/>
          <w:szCs w:val="22"/>
          <w:highlight w:val="none"/>
          <w:u w:val="double"/>
        </w:rPr>
      </w:pPr>
      <w:r>
        <w:rPr>
          <w:rFonts w:hint="eastAsia" w:asciiTheme="minorEastAsia" w:hAnsiTheme="minorEastAsia" w:eastAsiaTheme="minorEastAsia" w:cstheme="minorEastAsia"/>
          <w:b w:val="0"/>
          <w:bCs w:val="0"/>
          <w:color w:val="000000"/>
          <w:sz w:val="22"/>
          <w:szCs w:val="22"/>
          <w:highlight w:val="none"/>
          <w:u w:val="double"/>
        </w:rPr>
        <w:t>商务标评审（</w:t>
      </w:r>
      <w:r>
        <w:rPr>
          <w:rFonts w:hint="eastAsia" w:asciiTheme="minorEastAsia" w:hAnsiTheme="minorEastAsia" w:eastAsiaTheme="minorEastAsia" w:cstheme="minorEastAsia"/>
          <w:b w:val="0"/>
          <w:bCs w:val="0"/>
          <w:sz w:val="22"/>
          <w:szCs w:val="22"/>
          <w:lang w:val="en-US" w:eastAsia="zh-CN"/>
        </w:rPr>
        <w:t>综合评标法</w:t>
      </w:r>
      <w:r>
        <w:rPr>
          <w:rFonts w:hint="eastAsia" w:asciiTheme="minorEastAsia" w:hAnsiTheme="minorEastAsia" w:eastAsiaTheme="minorEastAsia" w:cstheme="minorEastAsia"/>
          <w:b w:val="0"/>
          <w:bCs w:val="0"/>
          <w:color w:val="000000"/>
          <w:sz w:val="22"/>
          <w:szCs w:val="22"/>
          <w:highlight w:val="none"/>
          <w:u w:val="double"/>
        </w:rPr>
        <w:t>）</w:t>
      </w:r>
    </w:p>
    <w:p>
      <w:pPr>
        <w:spacing w:line="550" w:lineRule="exact"/>
        <w:ind w:firstLine="440" w:firstLineChars="200"/>
        <w:rPr>
          <w:rFonts w:hint="eastAsia" w:asciiTheme="minorEastAsia" w:hAnsiTheme="minorEastAsia" w:eastAsiaTheme="minorEastAsia" w:cstheme="minorEastAsia"/>
          <w:b w:val="0"/>
          <w:bCs w:val="0"/>
          <w:color w:val="000000"/>
          <w:sz w:val="22"/>
          <w:szCs w:val="22"/>
          <w:highlight w:val="none"/>
        </w:rPr>
      </w:pPr>
      <w:r>
        <w:rPr>
          <w:rFonts w:hint="eastAsia" w:asciiTheme="minorEastAsia" w:hAnsiTheme="minorEastAsia" w:eastAsiaTheme="minorEastAsia" w:cstheme="minorEastAsia"/>
          <w:b w:val="0"/>
          <w:bCs w:val="0"/>
          <w:color w:val="000000"/>
          <w:sz w:val="22"/>
          <w:szCs w:val="22"/>
          <w:highlight w:val="none"/>
        </w:rPr>
        <w:t>4.</w:t>
      </w:r>
      <w:r>
        <w:rPr>
          <w:rFonts w:hint="eastAsia" w:asciiTheme="minorEastAsia" w:hAnsiTheme="minorEastAsia" w:eastAsiaTheme="minorEastAsia" w:cstheme="minorEastAsia"/>
          <w:b w:val="0"/>
          <w:bCs w:val="0"/>
          <w:color w:val="000000"/>
          <w:sz w:val="22"/>
          <w:szCs w:val="22"/>
          <w:highlight w:val="none"/>
          <w:lang w:val="en-US" w:eastAsia="zh-CN"/>
        </w:rPr>
        <w:t>1</w:t>
      </w:r>
      <w:r>
        <w:rPr>
          <w:rFonts w:hint="eastAsia" w:asciiTheme="minorEastAsia" w:hAnsiTheme="minorEastAsia" w:eastAsiaTheme="minorEastAsia" w:cstheme="minorEastAsia"/>
          <w:b w:val="0"/>
          <w:bCs w:val="0"/>
          <w:color w:val="000000"/>
          <w:sz w:val="22"/>
          <w:szCs w:val="22"/>
          <w:highlight w:val="none"/>
        </w:rPr>
        <w:t xml:space="preserve">   商务标评审</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.1投标报价评审</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投标人报价不超过该项目招标控制价的，评标委员会对投标人的资格标进行符合性评审合格的，方可进入投标报价总价的评审及评标基准值的计算。</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出现下列情形之一的投标报价均不参与基准值计算：</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.1.1投标报价超过该项目招标控制价的；</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.1.2界定为“串通投标”的；</w:t>
      </w:r>
    </w:p>
    <w:p>
      <w:pPr>
        <w:spacing w:line="550" w:lineRule="exact"/>
        <w:ind w:firstLine="440" w:firstLineChars="200"/>
        <w:rPr>
          <w:rFonts w:hint="eastAsia" w:asciiTheme="minorEastAsia" w:hAnsiTheme="minorEastAsia" w:eastAsiaTheme="minorEastAsia" w:cstheme="minorEastAsia"/>
          <w:b/>
          <w:color w:val="000000"/>
          <w:sz w:val="22"/>
          <w:szCs w:val="22"/>
          <w:highlight w:val="none"/>
          <w:u w:val="singl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.1.3不同投标人投标文件异常一致或者报价呈规律性差异的；</w:t>
      </w:r>
    </w:p>
    <w:p>
      <w:pPr>
        <w:spacing w:line="550" w:lineRule="exact"/>
        <w:ind w:firstLine="440" w:firstLineChars="200"/>
        <w:rPr>
          <w:rFonts w:hint="eastAsia" w:asciiTheme="minorEastAsia" w:hAnsiTheme="minorEastAsia" w:eastAsiaTheme="minorEastAsia" w:cstheme="minorEastAsia"/>
          <w:b/>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.2投标报价分项报价评审</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评标委员会进行商务标报价详细评审时，发现有下列情形之一的，应否决其投标：</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.2.</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修改分部分项工程量清单项目或数量的；</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.2.</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投标人的投标报价超过</w:t>
      </w:r>
      <w:r>
        <w:rPr>
          <w:rFonts w:hint="eastAsia" w:asciiTheme="minorEastAsia" w:hAnsiTheme="minorEastAsia" w:eastAsiaTheme="minorEastAsia" w:cstheme="minorEastAsia"/>
          <w:color w:val="auto"/>
          <w:sz w:val="22"/>
          <w:szCs w:val="22"/>
          <w:highlight w:val="none"/>
        </w:rPr>
        <w:t>招标控制价</w:t>
      </w:r>
      <w:r>
        <w:rPr>
          <w:rFonts w:hint="eastAsia" w:asciiTheme="minorEastAsia" w:hAnsiTheme="minorEastAsia" w:eastAsiaTheme="minorEastAsia" w:cstheme="minorEastAsia"/>
          <w:color w:val="000000"/>
          <w:sz w:val="22"/>
          <w:szCs w:val="22"/>
          <w:highlight w:val="none"/>
        </w:rPr>
        <w:t>的；</w:t>
      </w:r>
    </w:p>
    <w:p>
      <w:pPr>
        <w:spacing w:line="550" w:lineRule="exact"/>
        <w:ind w:firstLine="440" w:firstLineChars="200"/>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.2.</w:t>
      </w:r>
      <w:r>
        <w:rPr>
          <w:rFonts w:hint="eastAsia" w:asciiTheme="minorEastAsia" w:hAnsiTheme="minorEastAsia" w:eastAsiaTheme="minorEastAsia" w:cstheme="minorEastAsia"/>
          <w:color w:val="000000"/>
          <w:sz w:val="22"/>
          <w:szCs w:val="22"/>
          <w:highlight w:val="none"/>
          <w:lang w:val="en-US" w:eastAsia="zh-CN"/>
        </w:rPr>
        <w:t>3</w:t>
      </w:r>
      <w:r>
        <w:rPr>
          <w:rFonts w:hint="eastAsia" w:asciiTheme="minorEastAsia" w:hAnsiTheme="minorEastAsia" w:eastAsiaTheme="minorEastAsia" w:cstheme="minorEastAsia"/>
          <w:color w:val="000000"/>
          <w:sz w:val="22"/>
          <w:szCs w:val="22"/>
          <w:highlight w:val="none"/>
        </w:rPr>
        <w:t>经评标委员会认定为重大偏差的其他情形。</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.3投标人有以下情形之一的，评标委员会应当否决其投标：</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 xml:space="preserve">.3.1串通投标或弄虚作假或有其他违法行为的；    </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.3.2不按评标委员会要求澄清、说明或补正的；</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.3.3不同投标人投标文件异常一致或者报价呈规律性差异的；</w:t>
      </w:r>
    </w:p>
    <w:permEnd w:id="0"/>
    <w:p>
      <w:pPr>
        <w:spacing w:line="550" w:lineRule="exact"/>
        <w:ind w:firstLine="440" w:firstLineChars="200"/>
        <w:jc w:val="left"/>
        <w:rPr>
          <w:rFonts w:hint="eastAsia" w:asciiTheme="minorEastAsia" w:hAnsiTheme="minorEastAsia" w:eastAsiaTheme="minorEastAsia" w:cstheme="minorEastAsia"/>
          <w:b w:val="0"/>
          <w:bCs w:val="0"/>
          <w:color w:val="000000"/>
          <w:sz w:val="22"/>
          <w:szCs w:val="22"/>
        </w:rPr>
      </w:pPr>
      <w:r>
        <w:rPr>
          <w:rFonts w:hint="eastAsia" w:asciiTheme="minorEastAsia" w:hAnsiTheme="minorEastAsia" w:eastAsiaTheme="minorEastAsia" w:cstheme="minorEastAsia"/>
          <w:b w:val="0"/>
          <w:bCs w:val="0"/>
          <w:color w:val="000000"/>
          <w:sz w:val="22"/>
          <w:szCs w:val="22"/>
        </w:rPr>
        <w:t>4．</w:t>
      </w:r>
      <w:r>
        <w:rPr>
          <w:rFonts w:hint="eastAsia" w:asciiTheme="minorEastAsia" w:hAnsiTheme="minorEastAsia" w:eastAsiaTheme="minorEastAsia" w:cstheme="minorEastAsia"/>
          <w:b w:val="0"/>
          <w:bCs w:val="0"/>
          <w:color w:val="000000"/>
          <w:sz w:val="22"/>
          <w:szCs w:val="22"/>
          <w:lang w:val="en-US" w:eastAsia="zh-CN"/>
        </w:rPr>
        <w:t>2</w:t>
      </w:r>
      <w:r>
        <w:rPr>
          <w:rFonts w:hint="eastAsia" w:asciiTheme="minorEastAsia" w:hAnsiTheme="minorEastAsia" w:eastAsiaTheme="minorEastAsia" w:cstheme="minorEastAsia"/>
          <w:b w:val="0"/>
          <w:bCs w:val="0"/>
          <w:color w:val="000000"/>
          <w:sz w:val="22"/>
          <w:szCs w:val="22"/>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20分钟。评委会将对澄清、说明或补正内容评审后决定是否符合要求。</w:t>
      </w:r>
    </w:p>
    <w:p>
      <w:pPr>
        <w:spacing w:line="550" w:lineRule="exact"/>
        <w:ind w:firstLine="440" w:firstLineChars="200"/>
        <w:rPr>
          <w:rFonts w:hint="eastAsia" w:asciiTheme="minorEastAsia" w:hAnsiTheme="minorEastAsia" w:eastAsiaTheme="minorEastAsia" w:cstheme="minorEastAsia"/>
          <w:b w:val="0"/>
          <w:bCs w:val="0"/>
          <w:color w:val="000000"/>
          <w:sz w:val="22"/>
          <w:szCs w:val="22"/>
          <w:highlight w:val="none"/>
        </w:rPr>
      </w:pPr>
      <w:r>
        <w:rPr>
          <w:rFonts w:hint="eastAsia" w:asciiTheme="minorEastAsia" w:hAnsiTheme="minorEastAsia" w:eastAsiaTheme="minorEastAsia" w:cstheme="minorEastAsia"/>
          <w:b w:val="0"/>
          <w:bCs w:val="0"/>
          <w:color w:val="000000"/>
          <w:sz w:val="22"/>
          <w:szCs w:val="22"/>
          <w:highlight w:val="none"/>
        </w:rPr>
        <w:t>4.</w:t>
      </w:r>
      <w:r>
        <w:rPr>
          <w:rFonts w:hint="eastAsia" w:asciiTheme="minorEastAsia" w:hAnsiTheme="minorEastAsia" w:eastAsiaTheme="minorEastAsia" w:cstheme="minorEastAsia"/>
          <w:b w:val="0"/>
          <w:bCs w:val="0"/>
          <w:color w:val="000000"/>
          <w:sz w:val="22"/>
          <w:szCs w:val="22"/>
          <w:highlight w:val="none"/>
          <w:lang w:val="en-US" w:eastAsia="zh-CN"/>
        </w:rPr>
        <w:t>3</w:t>
      </w:r>
      <w:r>
        <w:rPr>
          <w:rFonts w:hint="eastAsia" w:asciiTheme="minorEastAsia" w:hAnsiTheme="minorEastAsia" w:eastAsiaTheme="minorEastAsia" w:cstheme="minorEastAsia"/>
          <w:b w:val="0"/>
          <w:bCs w:val="0"/>
          <w:color w:val="000000"/>
          <w:sz w:val="22"/>
          <w:szCs w:val="22"/>
          <w:highlight w:val="none"/>
        </w:rPr>
        <w:t>推荐中标候选人。</w:t>
      </w:r>
    </w:p>
    <w:p>
      <w:pPr>
        <w:ind w:firstLine="440" w:firstLineChars="200"/>
        <w:rPr>
          <w:rFonts w:hint="eastAsia" w:ascii="宋体" w:hAnsi="宋体" w:eastAsia="宋体" w:cs="宋体"/>
          <w:b/>
          <w:color w:val="000000"/>
          <w:sz w:val="36"/>
          <w:szCs w:val="36"/>
          <w:lang w:val="en-US" w:eastAsia="zh-CN"/>
        </w:rPr>
      </w:pPr>
      <w:r>
        <w:rPr>
          <w:rFonts w:hint="eastAsia" w:asciiTheme="minorEastAsia" w:hAnsiTheme="minorEastAsia" w:eastAsiaTheme="minorEastAsia" w:cstheme="minorEastAsia"/>
          <w:color w:val="000000"/>
          <w:sz w:val="22"/>
          <w:szCs w:val="22"/>
          <w:lang w:val="en-US" w:eastAsia="zh-CN"/>
        </w:rPr>
        <w:t>4.3.1</w:t>
      </w:r>
      <w:r>
        <w:rPr>
          <w:rFonts w:hint="eastAsia" w:asciiTheme="minorEastAsia" w:hAnsiTheme="minorEastAsia" w:eastAsiaTheme="minorEastAsia" w:cstheme="minorEastAsia"/>
          <w:color w:val="000000"/>
          <w:sz w:val="22"/>
          <w:szCs w:val="22"/>
        </w:rPr>
        <w:t>经评审合格的投标文件，评标委员会按</w:t>
      </w:r>
      <w:r>
        <w:rPr>
          <w:rFonts w:hint="eastAsia" w:asciiTheme="minorEastAsia" w:hAnsiTheme="minorEastAsia" w:eastAsiaTheme="minorEastAsia" w:cstheme="minorEastAsia"/>
          <w:color w:val="000000"/>
          <w:sz w:val="22"/>
          <w:szCs w:val="22"/>
          <w:lang w:eastAsia="zh-CN"/>
        </w:rPr>
        <w:t>综合得分最高</w:t>
      </w:r>
      <w:r>
        <w:rPr>
          <w:rFonts w:hint="eastAsia" w:asciiTheme="minorEastAsia" w:hAnsiTheme="minorEastAsia" w:eastAsiaTheme="minorEastAsia" w:cstheme="minorEastAsia"/>
          <w:b w:val="0"/>
          <w:bCs w:val="0"/>
          <w:color w:val="000000"/>
          <w:kern w:val="0"/>
          <w:sz w:val="22"/>
          <w:szCs w:val="22"/>
          <w:highlight w:val="none"/>
          <w:lang w:val="en-US" w:eastAsia="zh-CN" w:bidi="ar-SA"/>
        </w:rPr>
        <w:t>确定中标人</w:t>
      </w:r>
      <w:r>
        <w:rPr>
          <w:rFonts w:hint="eastAsia" w:asciiTheme="minorEastAsia" w:hAnsiTheme="minorEastAsia" w:eastAsiaTheme="minorEastAsia" w:cstheme="minorEastAsia"/>
          <w:color w:val="000000"/>
          <w:sz w:val="22"/>
          <w:szCs w:val="22"/>
          <w:lang w:eastAsia="zh-CN"/>
        </w:rPr>
        <w:t>。</w:t>
      </w:r>
      <w:r>
        <w:rPr>
          <w:rFonts w:hint="eastAsia" w:ascii="宋体" w:hAnsi="宋体" w:eastAsia="宋体" w:cs="宋体"/>
          <w:b/>
          <w:color w:val="000000"/>
          <w:sz w:val="36"/>
          <w:szCs w:val="36"/>
          <w:lang w:val="en-US" w:eastAsia="zh-CN"/>
        </w:rPr>
        <w:br w:type="page"/>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spacing w:val="37"/>
          <w:sz w:val="24"/>
          <w:szCs w:val="24"/>
        </w:rPr>
      </w:pPr>
    </w:p>
    <w:p>
      <w:pPr>
        <w:pStyle w:val="2"/>
        <w:ind w:firstLine="514" w:firstLineChars="100"/>
        <w:jc w:val="center"/>
        <w:rPr>
          <w:rFonts w:hint="default"/>
          <w:sz w:val="44"/>
          <w:szCs w:val="44"/>
          <w:lang w:val="en-US"/>
        </w:rPr>
      </w:pPr>
      <w:r>
        <w:rPr>
          <w:rFonts w:hint="eastAsia" w:asciiTheme="minorEastAsia" w:hAnsiTheme="minorEastAsia" w:eastAsiaTheme="minorEastAsia" w:cstheme="minorEastAsia"/>
          <w:b w:val="0"/>
          <w:bCs/>
          <w:color w:val="auto"/>
          <w:spacing w:val="37"/>
          <w:sz w:val="44"/>
          <w:szCs w:val="44"/>
          <w:lang w:eastAsia="zh-CN"/>
        </w:rPr>
        <w:t>安徽省宁国市年产10万吨畜禽产品冷链加</w:t>
      </w:r>
      <w:r>
        <w:rPr>
          <w:rFonts w:hint="eastAsia" w:asciiTheme="minorEastAsia" w:hAnsiTheme="minorEastAsia" w:eastAsiaTheme="minorEastAsia" w:cstheme="minorEastAsia"/>
          <w:b w:val="0"/>
          <w:bCs/>
          <w:color w:val="auto"/>
          <w:spacing w:val="37"/>
          <w:sz w:val="44"/>
          <w:szCs w:val="44"/>
          <w:lang w:val="en-US" w:eastAsia="zh-CN"/>
        </w:rPr>
        <w:t xml:space="preserve">  </w:t>
      </w:r>
      <w:r>
        <w:rPr>
          <w:rFonts w:hint="eastAsia" w:asciiTheme="minorEastAsia" w:hAnsiTheme="minorEastAsia" w:eastAsiaTheme="minorEastAsia" w:cstheme="minorEastAsia"/>
          <w:b w:val="0"/>
          <w:bCs/>
          <w:color w:val="auto"/>
          <w:spacing w:val="37"/>
          <w:sz w:val="44"/>
          <w:szCs w:val="44"/>
          <w:lang w:eastAsia="zh-CN"/>
        </w:rPr>
        <w:t>工配送项目一期建设工程门窗工程制作安装工程</w:t>
      </w:r>
    </w:p>
    <w:p>
      <w:pPr>
        <w:jc w:val="center"/>
        <w:rPr>
          <w:rFonts w:hint="eastAsia" w:ascii="宋体" w:hAnsi="宋体" w:eastAsia="宋体" w:cs="宋体"/>
          <w:b/>
          <w:sz w:val="84"/>
          <w:szCs w:val="84"/>
        </w:rPr>
      </w:pPr>
      <w:r>
        <w:rPr>
          <w:rFonts w:hint="eastAsia" w:ascii="宋体" w:hAnsi="宋体" w:eastAsia="宋体" w:cs="宋体"/>
          <w:b/>
          <w:sz w:val="84"/>
          <w:szCs w:val="84"/>
        </w:rPr>
        <w:t>投</w:t>
      </w:r>
    </w:p>
    <w:p>
      <w:pPr>
        <w:jc w:val="center"/>
        <w:rPr>
          <w:rFonts w:hint="eastAsia" w:ascii="宋体" w:hAnsi="宋体" w:eastAsia="宋体" w:cs="宋体"/>
          <w:b/>
          <w:sz w:val="84"/>
          <w:szCs w:val="84"/>
        </w:rPr>
      </w:pPr>
      <w:r>
        <w:rPr>
          <w:rFonts w:hint="eastAsia" w:ascii="宋体" w:hAnsi="宋体" w:eastAsia="宋体" w:cs="宋体"/>
          <w:b/>
          <w:sz w:val="84"/>
          <w:szCs w:val="84"/>
        </w:rPr>
        <w:t>标</w:t>
      </w:r>
    </w:p>
    <w:p>
      <w:pPr>
        <w:jc w:val="center"/>
        <w:rPr>
          <w:rFonts w:hint="eastAsia" w:ascii="宋体" w:hAnsi="宋体" w:eastAsia="宋体" w:cs="宋体"/>
          <w:b/>
          <w:sz w:val="84"/>
          <w:szCs w:val="84"/>
        </w:rPr>
      </w:pPr>
      <w:r>
        <w:rPr>
          <w:rFonts w:hint="eastAsia" w:ascii="宋体" w:hAnsi="宋体" w:eastAsia="宋体" w:cs="宋体"/>
          <w:b/>
          <w:sz w:val="84"/>
          <w:szCs w:val="84"/>
        </w:rPr>
        <w:t>文</w:t>
      </w:r>
    </w:p>
    <w:p>
      <w:pPr>
        <w:jc w:val="center"/>
        <w:rPr>
          <w:rFonts w:hint="eastAsia" w:ascii="宋体" w:hAnsi="宋体" w:eastAsia="宋体" w:cs="宋体"/>
          <w:b/>
          <w:sz w:val="84"/>
          <w:szCs w:val="84"/>
        </w:rPr>
      </w:pPr>
      <w:r>
        <w:rPr>
          <w:rFonts w:hint="eastAsia" w:ascii="宋体" w:hAnsi="宋体" w:eastAsia="宋体" w:cs="宋体"/>
          <w:b/>
          <w:sz w:val="84"/>
          <w:szCs w:val="84"/>
        </w:rPr>
        <w:t>件</w:t>
      </w:r>
    </w:p>
    <w:p>
      <w:pPr>
        <w:spacing w:line="400" w:lineRule="exact"/>
        <w:rPr>
          <w:rFonts w:hint="eastAsia" w:ascii="宋体" w:hAnsi="宋体" w:eastAsia="宋体" w:cs="宋体"/>
        </w:rPr>
      </w:pPr>
    </w:p>
    <w:p>
      <w:pPr>
        <w:pStyle w:val="2"/>
        <w:rPr>
          <w:rFonts w:hint="eastAsia"/>
        </w:rPr>
      </w:pPr>
    </w:p>
    <w:p>
      <w:pPr>
        <w:spacing w:line="400" w:lineRule="exact"/>
        <w:rPr>
          <w:rFonts w:hint="eastAsia" w:ascii="宋体" w:hAnsi="宋体" w:eastAsia="宋体" w:cs="宋体"/>
        </w:rPr>
      </w:pPr>
    </w:p>
    <w:p>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pPr>
        <w:spacing w:line="840" w:lineRule="exact"/>
        <w:ind w:firstLine="2800" w:firstLineChars="1000"/>
        <w:rPr>
          <w:rFonts w:hint="eastAsia"/>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2"/>
        <w:jc w:val="center"/>
        <w:rPr>
          <w:rFonts w:hint="eastAsia"/>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一、投 标 函</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二、法定代表人身份证明</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三、授权委托书</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四、本项目报价表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五、投标人一般情况表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六、拟投入本项目组的工作人员汇总表</w:t>
      </w:r>
    </w:p>
    <w:p>
      <w:pPr>
        <w:numPr>
          <w:ilvl w:val="0"/>
          <w:numId w:val="0"/>
        </w:numPr>
        <w:spacing w:line="360" w:lineRule="auto"/>
        <w:jc w:val="left"/>
        <w:rPr>
          <w:rFonts w:hint="eastAsia" w:ascii="宋体" w:hAnsi="宋体" w:eastAsia="宋体" w:cs="宋体"/>
          <w:b/>
          <w:bCs/>
          <w:kern w:val="0"/>
          <w:sz w:val="32"/>
          <w:szCs w:val="32"/>
          <w:lang w:val="en-US" w:eastAsia="zh-CN" w:bidi="ar-SA"/>
        </w:rPr>
        <w:sectPr>
          <w:pgSz w:w="11906" w:h="16838"/>
          <w:pgMar w:top="850" w:right="850" w:bottom="850" w:left="850" w:header="851" w:footer="992" w:gutter="0"/>
          <w:cols w:space="720" w:num="1"/>
          <w:rtlGutter w:val="0"/>
          <w:docGrid w:type="lines" w:linePitch="329" w:charSpace="0"/>
        </w:sectPr>
      </w:pPr>
      <w:r>
        <w:rPr>
          <w:rFonts w:hint="eastAsia" w:ascii="宋体" w:hAnsi="宋体" w:eastAsia="宋体" w:cs="宋体"/>
          <w:b/>
          <w:bCs/>
          <w:kern w:val="0"/>
          <w:sz w:val="32"/>
          <w:szCs w:val="32"/>
          <w:lang w:val="en-US" w:eastAsia="zh-CN" w:bidi="ar-SA"/>
        </w:rPr>
        <w:t>七、其他资料</w:t>
      </w:r>
    </w:p>
    <w:p>
      <w:pPr>
        <w:pStyle w:val="4"/>
        <w:keepNext w:val="0"/>
        <w:keepLines w:val="0"/>
        <w:spacing w:line="240" w:lineRule="auto"/>
        <w:jc w:val="center"/>
        <w:rPr>
          <w:rFonts w:hint="eastAsia" w:ascii="宋体" w:hAnsi="宋体" w:eastAsia="宋体" w:cs="宋体"/>
          <w:kern w:val="44"/>
        </w:rPr>
      </w:pPr>
      <w:r>
        <w:rPr>
          <w:rFonts w:hint="eastAsia" w:ascii="宋体" w:hAnsi="宋体" w:eastAsia="宋体" w:cs="宋体"/>
          <w:kern w:val="44"/>
        </w:rPr>
        <w:t>第五章 投标文件格式</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一、投 标 函</w:t>
      </w:r>
    </w:p>
    <w:p>
      <w:pPr>
        <w:spacing w:line="50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 xml:space="preserve">（招标人名称） </w:t>
      </w:r>
    </w:p>
    <w:p>
      <w:pPr>
        <w:pStyle w:val="197"/>
        <w:spacing w:before="96"/>
        <w:ind w:firstLine="480" w:firstLineChars="200"/>
        <w:jc w:val="left"/>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w:t>
      </w:r>
      <w:r>
        <w:rPr>
          <w:rFonts w:hint="eastAsia" w:ascii="宋体" w:hAnsi="宋体" w:eastAsia="宋体" w:cs="宋体"/>
        </w:rPr>
        <w:t>经考察项目现场和研究上述项目招标文件要求及其他招标资料后，我方愿意以</w:t>
      </w:r>
      <w:r>
        <w:rPr>
          <w:rFonts w:hint="eastAsia" w:ascii="宋体" w:hAnsi="宋体" w:eastAsia="宋体" w:cs="宋体"/>
          <w:color w:val="000000"/>
          <w:kern w:val="0"/>
          <w:sz w:val="21"/>
          <w:szCs w:val="21"/>
          <w:lang w:val="en-US" w:eastAsia="zh-CN" w:bidi="ar"/>
        </w:rPr>
        <w:t>人民币</w:t>
      </w:r>
      <w:r>
        <w:rPr>
          <w:rFonts w:hint="eastAsia" w:ascii="宋体" w:hAnsi="宋体" w:eastAsia="宋体" w:cs="宋体"/>
          <w:szCs w:val="21"/>
          <w:u w:val="single"/>
        </w:rPr>
        <w:t xml:space="preserve">               </w:t>
      </w:r>
      <w:r>
        <w:rPr>
          <w:rFonts w:hint="eastAsia" w:ascii="宋体" w:hAnsi="宋体" w:eastAsia="宋体" w:cs="宋体"/>
          <w:color w:val="000000"/>
          <w:kern w:val="0"/>
          <w:sz w:val="21"/>
          <w:szCs w:val="21"/>
          <w:lang w:val="en-US" w:eastAsia="zh-CN" w:bidi="ar"/>
        </w:rPr>
        <w:t xml:space="preserve"> </w:t>
      </w:r>
      <w:r>
        <w:rPr>
          <w:rFonts w:hint="eastAsia" w:cs="宋体"/>
          <w:color w:val="000000"/>
          <w:kern w:val="0"/>
          <w:sz w:val="21"/>
          <w:szCs w:val="21"/>
          <w:lang w:val="en-US" w:eastAsia="zh-CN" w:bidi="ar"/>
        </w:rPr>
        <w:t>元</w:t>
      </w:r>
      <w:r>
        <w:rPr>
          <w:rFonts w:hint="eastAsia" w:ascii="宋体" w:hAnsi="宋体" w:eastAsia="宋体" w:cs="宋体"/>
          <w:color w:val="000000"/>
          <w:kern w:val="0"/>
          <w:sz w:val="21"/>
          <w:szCs w:val="21"/>
          <w:lang w:val="en-US" w:eastAsia="zh-CN" w:bidi="ar"/>
        </w:rPr>
        <w:t>的投标报价</w:t>
      </w:r>
      <w:r>
        <w:rPr>
          <w:rFonts w:hint="eastAsia"/>
          <w:b w:val="0"/>
          <w:bCs/>
          <w:sz w:val="24"/>
          <w:lang w:eastAsia="zh-CN"/>
        </w:rPr>
        <w:t>。</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w:t>
      </w:r>
      <w:r>
        <w:rPr>
          <w:rFonts w:hint="eastAsia" w:ascii="宋体" w:hAnsi="宋体" w:eastAsia="宋体" w:cs="宋体"/>
          <w:szCs w:val="21"/>
          <w:u w:val="single"/>
        </w:rPr>
        <w:t xml:space="preserve">   </w:t>
      </w:r>
      <w:r>
        <w:rPr>
          <w:rFonts w:hint="eastAsia" w:ascii="宋体" w:hAnsi="宋体" w:eastAsia="宋体" w:cs="宋体"/>
          <w:szCs w:val="21"/>
        </w:rPr>
        <w:t>日历天，按合同约定实施和完成承包该项目工程，修补工程中的任何缺陷，工程质量达到</w:t>
      </w:r>
      <w:r>
        <w:rPr>
          <w:rFonts w:hint="eastAsia" w:ascii="宋体" w:hAnsi="宋体" w:eastAsia="宋体" w:cs="宋体"/>
          <w:szCs w:val="21"/>
          <w:u w:val="single"/>
        </w:rPr>
        <w:t xml:space="preserve">       </w:t>
      </w:r>
      <w:r>
        <w:rPr>
          <w:rFonts w:hint="eastAsia" w:cs="宋体"/>
          <w:szCs w:val="21"/>
          <w:u w:val="single"/>
          <w:lang w:eastAsia="zh-CN"/>
        </w:rPr>
        <w:t>优良</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2．我方承诺在投标有效期内不修改、撤销投标文件。</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rPr>
        <w:t xml:space="preserve">如我方中标，我方拟派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为本工程</w:t>
      </w:r>
      <w:r>
        <w:rPr>
          <w:rFonts w:hint="eastAsia" w:ascii="宋体" w:hAnsi="宋体" w:eastAsia="宋体" w:cs="宋体"/>
          <w:lang w:val="en-US" w:eastAsia="zh-CN"/>
        </w:rPr>
        <w:t>项目</w:t>
      </w:r>
      <w:r>
        <w:rPr>
          <w:rFonts w:hint="eastAsia" w:ascii="宋体" w:hAnsi="宋体" w:eastAsia="宋体" w:cs="宋体"/>
          <w:lang w:eastAsia="zh-CN"/>
        </w:rPr>
        <w:t>负责人</w:t>
      </w:r>
      <w:r>
        <w:rPr>
          <w:rFonts w:hint="eastAsia" w:ascii="宋体" w:hAnsi="宋体" w:eastAsia="宋体" w:cs="宋体"/>
        </w:rPr>
        <w:t>，</w:t>
      </w:r>
      <w:r>
        <w:rPr>
          <w:rFonts w:hint="eastAsia" w:ascii="宋体" w:hAnsi="宋体" w:eastAsia="宋体" w:cs="宋体"/>
          <w:lang w:eastAsia="zh-CN"/>
        </w:rPr>
        <w:t>联系电话</w:t>
      </w:r>
      <w:r>
        <w:rPr>
          <w:rFonts w:hint="eastAsia" w:ascii="宋体" w:hAnsi="宋体" w:eastAsia="宋体" w:cs="宋体"/>
          <w:u w:val="single"/>
          <w:lang w:val="en-US" w:eastAsia="zh-CN"/>
        </w:rPr>
        <w:t xml:space="preserve">                </w:t>
      </w:r>
      <w:r>
        <w:rPr>
          <w:rFonts w:hint="eastAsia" w:ascii="宋体" w:hAnsi="宋体" w:eastAsia="宋体" w:cs="宋体"/>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4．如我方中标：(l）我方承诺在收到中标通知书后，在中标通知书规定的期限内与你方签订合同。</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(2）随同本投标函递交的投标函附录属于合同文件的组成部分。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(3）我方承诺按照招标文件规定向你方递交履约担保。</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(4）我方承诺在合同约定的期限内完成并移交全部合同</w:t>
      </w:r>
      <w:r>
        <w:rPr>
          <w:rFonts w:hint="eastAsia" w:ascii="宋体" w:hAnsi="宋体" w:eastAsia="宋体" w:cs="宋体"/>
          <w:szCs w:val="21"/>
          <w:lang w:val="en-US" w:eastAsia="zh-CN"/>
        </w:rPr>
        <w:t>设计任务</w:t>
      </w:r>
      <w:r>
        <w:rPr>
          <w:rFonts w:hint="eastAsia" w:ascii="宋体" w:hAnsi="宋体" w:eastAsia="宋体" w:cs="宋体"/>
          <w:szCs w:val="21"/>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(5）我方承诺本投标函在招标文件规定的提交投标文件截止时间后，在招标文件规定的投标有效期期满前对我方具有约束力，且随时准备接受你方发出的中标通知书。</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5.我方在此声明，所递交的投标文件及有关资料内容完整、真实和准确。</w:t>
      </w:r>
    </w:p>
    <w:p>
      <w:pPr>
        <w:pStyle w:val="17"/>
        <w:spacing w:line="500" w:lineRule="exact"/>
        <w:ind w:leftChars="0" w:firstLine="480" w:firstLineChars="200"/>
        <w:rPr>
          <w:rFonts w:hint="eastAsia" w:ascii="宋体" w:hAnsi="宋体" w:eastAsia="宋体" w:cs="宋体"/>
          <w:sz w:val="21"/>
          <w:szCs w:val="21"/>
        </w:rPr>
      </w:pPr>
      <w:r>
        <w:rPr>
          <w:rFonts w:hint="eastAsia" w:ascii="宋体" w:hAnsi="宋体" w:eastAsia="宋体" w:cs="宋体"/>
          <w:sz w:val="24"/>
          <w:szCs w:val="21"/>
          <w:lang w:bidi="ar-SA"/>
        </w:rPr>
        <w:t>6．若成为中标候选人，本公司自愿接受招标人的考察与约谈，一旦查出有违反法律、法规等行为（如挂靠、转包等行为的），愿承担一切责任与后果。</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 w:val="32"/>
          <w:szCs w:val="32"/>
        </w:rPr>
      </w:pPr>
      <w:r>
        <w:rPr>
          <w:rFonts w:hint="eastAsia" w:ascii="宋体" w:hAnsi="宋体" w:eastAsia="宋体" w:cs="宋体"/>
          <w:szCs w:val="21"/>
          <w:u w:val="none" w:color="auto"/>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lang w:eastAsia="zh-CN"/>
        </w:rPr>
        <w:t>二</w:t>
      </w:r>
      <w:r>
        <w:rPr>
          <w:rFonts w:hint="eastAsia" w:ascii="宋体" w:hAnsi="宋体" w:eastAsia="宋体" w:cs="宋体"/>
          <w:b/>
          <w:sz w:val="32"/>
          <w:szCs w:val="32"/>
        </w:rPr>
        <w:t>、法定代表人身份证明</w:t>
      </w:r>
    </w:p>
    <w:p>
      <w:pPr>
        <w:pStyle w:val="2"/>
        <w:keepNext w:val="0"/>
        <w:keepLines w:val="0"/>
        <w:spacing w:before="0" w:beforeLines="0" w:after="0" w:afterLines="0" w:line="560" w:lineRule="exact"/>
        <w:rPr>
          <w:rFonts w:hint="eastAsia" w:ascii="宋体" w:hAnsi="宋体" w:eastAsia="宋体" w:cs="宋体"/>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30" w:name="_Toc152042581"/>
      <w:bookmarkStart w:id="31" w:name="_Toc152045792"/>
      <w:bookmarkStart w:id="32" w:name="_Toc246996360"/>
      <w:bookmarkStart w:id="33" w:name="_Toc179632812"/>
      <w:bookmarkStart w:id="34" w:name="_Toc247085878"/>
      <w:bookmarkStart w:id="35" w:name="_Toc246997103"/>
      <w:bookmarkStart w:id="36" w:name="_Toc329851856"/>
      <w:bookmarkStart w:id="37" w:name="_Toc144974861"/>
      <w:r>
        <w:rPr>
          <w:rFonts w:hint="eastAsia" w:ascii="宋体" w:hAnsi="宋体" w:eastAsia="宋体" w:cs="宋体"/>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rPr>
      </w:pPr>
    </w:p>
    <w:p>
      <w:pPr>
        <w:pStyle w:val="2"/>
        <w:keepNext w:val="0"/>
        <w:keepLines w:val="0"/>
        <w:spacing w:before="0" w:beforeLines="0" w:after="0" w:afterLines="0" w:line="560" w:lineRule="exact"/>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lang w:eastAsia="zh-CN"/>
        </w:rPr>
        <w:t>三</w:t>
      </w:r>
      <w:r>
        <w:rPr>
          <w:rFonts w:hint="eastAsia" w:ascii="宋体" w:hAnsi="宋体" w:eastAsia="宋体" w:cs="宋体"/>
        </w:rPr>
        <w:t>、授权委托书</w:t>
      </w:r>
      <w:bookmarkEnd w:id="30"/>
      <w:bookmarkEnd w:id="31"/>
      <w:bookmarkEnd w:id="32"/>
      <w:bookmarkEnd w:id="33"/>
      <w:bookmarkEnd w:id="34"/>
      <w:bookmarkEnd w:id="35"/>
      <w:bookmarkEnd w:id="36"/>
      <w:bookmarkEnd w:id="37"/>
    </w:p>
    <w:p>
      <w:pPr>
        <w:spacing w:line="560" w:lineRule="exact"/>
        <w:ind w:firstLine="480" w:firstLineChars="200"/>
        <w:jc w:val="center"/>
        <w:rPr>
          <w:rFonts w:hint="eastAsia" w:ascii="宋体" w:hAnsi="宋体" w:eastAsia="宋体" w:cs="宋体"/>
          <w:szCs w:val="21"/>
        </w:rPr>
      </w:pPr>
    </w:p>
    <w:p>
      <w:pPr>
        <w:topLinePunct/>
        <w:spacing w:line="56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附：法定代表人身份证明（附法人身份证和委托代理人身份证复印件）</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288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00" w:firstLineChars="200"/>
        <w:rPr>
          <w:rFonts w:hint="eastAsia" w:ascii="宋体" w:hAnsi="宋体" w:eastAsia="宋体" w:cs="宋体"/>
          <w:sz w:val="20"/>
          <w:szCs w:val="20"/>
        </w:rPr>
      </w:pPr>
    </w:p>
    <w:p>
      <w:pPr>
        <w:rPr>
          <w:rFonts w:hint="eastAsia" w:ascii="宋体" w:hAnsi="宋体" w:eastAsia="宋体" w:cs="宋体"/>
          <w:szCs w:val="21"/>
        </w:rPr>
      </w:pPr>
    </w:p>
    <w:p>
      <w:pPr>
        <w:ind w:firstLine="480" w:firstLineChars="200"/>
        <w:rPr>
          <w:rFonts w:hint="eastAsia" w:ascii="宋体" w:hAnsi="宋体" w:eastAsia="宋体" w:cs="宋体"/>
          <w:szCs w:val="21"/>
        </w:rPr>
      </w:pPr>
    </w:p>
    <w:p>
      <w:pPr>
        <w:ind w:firstLine="480" w:firstLineChars="200"/>
        <w:rPr>
          <w:rFonts w:hint="eastAsia" w:ascii="宋体" w:hAnsi="宋体" w:eastAsia="宋体" w:cs="宋体"/>
          <w:szCs w:val="21"/>
        </w:rPr>
      </w:pPr>
    </w:p>
    <w:p>
      <w:pPr>
        <w:numPr>
          <w:ilvl w:val="0"/>
          <w:numId w:val="0"/>
        </w:numPr>
        <w:ind w:leftChars="0"/>
        <w:jc w:val="both"/>
        <w:rPr>
          <w:rFonts w:hint="eastAsia" w:ascii="宋体" w:hAnsi="宋体" w:eastAsia="宋体" w:cs="宋体"/>
          <w:b/>
          <w:bCs/>
          <w:kern w:val="2"/>
          <w:sz w:val="32"/>
          <w:szCs w:val="32"/>
          <w:lang w:eastAsia="zh-CN" w:bidi="ar-SA"/>
        </w:rPr>
      </w:pPr>
    </w:p>
    <w:p>
      <w:pPr>
        <w:numPr>
          <w:ilvl w:val="0"/>
          <w:numId w:val="0"/>
        </w:numPr>
        <w:ind w:leftChars="0"/>
        <w:jc w:val="center"/>
        <w:rPr>
          <w:rFonts w:hint="eastAsia" w:ascii="宋体" w:hAnsi="宋体" w:eastAsia="宋体" w:cs="宋体"/>
          <w:b/>
          <w:bCs/>
          <w:kern w:val="2"/>
          <w:sz w:val="32"/>
          <w:szCs w:val="32"/>
          <w:lang w:eastAsia="zh-CN" w:bidi="ar-SA"/>
        </w:rPr>
      </w:pPr>
      <w:r>
        <w:rPr>
          <w:rFonts w:hint="eastAsia" w:ascii="宋体" w:hAnsi="宋体" w:eastAsia="宋体" w:cs="宋体"/>
          <w:b/>
          <w:bCs/>
          <w:kern w:val="2"/>
          <w:sz w:val="32"/>
          <w:szCs w:val="32"/>
          <w:lang w:eastAsia="zh-CN" w:bidi="ar-SA"/>
        </w:rPr>
        <w:t>四、本项目报价表</w:t>
      </w:r>
    </w:p>
    <w:tbl>
      <w:tblPr>
        <w:tblStyle w:val="4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1"/>
        <w:gridCol w:w="1404"/>
        <w:gridCol w:w="731"/>
        <w:gridCol w:w="1215"/>
        <w:gridCol w:w="1027"/>
        <w:gridCol w:w="731"/>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猪、牛、羊车间及污水管理用房门、窗报价表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面积（m2)</w:t>
            </w:r>
          </w:p>
        </w:tc>
        <w:tc>
          <w:tcPr>
            <w:tcW w:w="0" w:type="auto"/>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单价（元/m2）</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乙级钢质防火门保温型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31.71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特级防火卷帘门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47.76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耐火极限达3小时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甲级钢木质防火门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48.12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乙级钢木质防火门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112.14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甲级钢质防火门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43.56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钢质防盗门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34.56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断桥铝合金连窗门（中空玻璃）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48.26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铝合金平开门（带亮子）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铝合金平开门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21.84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装饰实木门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2.31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铝合金卷帘门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29.40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钢质保温滑升门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44.88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08CJ17 SM4-2427A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铝合金推拉窗（单玻）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5.04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断桥铝合金平开窗（中空玻璃）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439.31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铝合金平开窗（单玻）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308.13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断桥铝合金平开窗（中空玻璃）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62.58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含救援窗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铝合金平开窗（单玻）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111.78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含救援窗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断桥铝合金电动排烟窗（中空玻璃）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44.66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铝合金电动排烟窗（单玻）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125.84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防坠落钢丝网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铝合金电动排烟窗（单玻）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200.58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甲级防火窗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3.78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甲级防火落地窗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197.70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6高透光双银（Low-E）+12A+8透明玻璃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乙级防火落地窗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41.40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6高透光双银（Low-E）+12A+8透明玻璃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金属百叶窗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17.18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金属百叶窗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1.20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含防坠落钢丝网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H500mm成品防鼠档板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18.85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不锈钢防盗栅栏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22.68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2070.25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要求：铝门窗主型材壁厚不应低于以下数值：门结构型材2.2mm，窗结构型材1.8mm；塑料门窗主型材壁厚不应低于以下数值：门型材可视面2.8mm，非可视面2.5mm；窗型材可视面2.5mm，非可视面2.2mm。框料表面要求光滑平整。底层隐框半隐框幕墙所采用的结构粘结材料必须是中性硅酮结构密封胶，其性能必须符合《建筑幕墙用硅酮结构密封胶》JG/T475-2015及《硅酮和改性硅酮建筑密封胶》GB/T14683-2017；</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2、结合业主意见除猪车间办公区域及分割车间间门窗玻璃及型材不变（断桥铝合金，6中透光+9中空+6），其余玻璃改为单层玻璃，断桥铝改为普通铝合金；                                                                                         3、门窗单玻采用60系列，其余采用88系列，卷帘门、滑升门及电动排烟窗含电动装置；                                                                              4、百叶窗采用铝合金百叶，铝合金表面为PVDF氟碳喷涂，百叶窗有效通风率应≥70%，下雨天气中，雨量在75mm/小时、风速在13米/秒情况下，外墙百叶不得有漏水。</w:t>
            </w:r>
          </w:p>
        </w:tc>
      </w:tr>
    </w:tbl>
    <w:p>
      <w:pPr>
        <w:spacing w:before="240" w:beforeLines="0" w:after="480" w:afterLines="0" w:line="500" w:lineRule="exact"/>
        <w:jc w:val="center"/>
        <w:rPr>
          <w:rFonts w:hint="eastAsia" w:ascii="宋体" w:hAnsi="宋体" w:eastAsia="宋体" w:cs="宋体"/>
          <w:b/>
          <w:sz w:val="32"/>
          <w:szCs w:val="32"/>
          <w:lang w:eastAsia="zh-CN"/>
        </w:rPr>
      </w:pPr>
    </w:p>
    <w:p>
      <w:pPr>
        <w:pStyle w:val="2"/>
        <w:rPr>
          <w:rFonts w:hint="eastAsia"/>
          <w:lang w:eastAsia="zh-CN"/>
        </w:rPr>
      </w:pPr>
    </w:p>
    <w:p>
      <w:pPr>
        <w:spacing w:before="240" w:beforeLines="0" w:after="480" w:afterLines="0" w:line="500" w:lineRule="exact"/>
        <w:jc w:val="center"/>
        <w:rPr>
          <w:rFonts w:hint="eastAsia" w:ascii="宋体" w:hAnsi="宋体" w:eastAsia="宋体" w:cs="宋体"/>
          <w:sz w:val="32"/>
          <w:szCs w:val="32"/>
        </w:rPr>
      </w:pPr>
      <w:r>
        <w:rPr>
          <w:rFonts w:hint="eastAsia" w:ascii="宋体" w:hAnsi="宋体" w:eastAsia="宋体" w:cs="宋体"/>
          <w:b/>
          <w:sz w:val="32"/>
          <w:szCs w:val="32"/>
          <w:lang w:eastAsia="zh-CN"/>
        </w:rPr>
        <w:t>五</w:t>
      </w:r>
      <w:r>
        <w:rPr>
          <w:rFonts w:hint="eastAsia" w:ascii="宋体" w:hAnsi="宋体" w:eastAsia="宋体" w:cs="宋体"/>
          <w:b/>
          <w:sz w:val="32"/>
          <w:szCs w:val="32"/>
        </w:rPr>
        <w:t>、投标人一般情况表</w:t>
      </w:r>
    </w:p>
    <w:tbl>
      <w:tblPr>
        <w:tblStyle w:val="42"/>
        <w:tblpPr w:leftFromText="180" w:rightFromText="180" w:vertAnchor="text" w:horzAnchor="page" w:tblpX="1315"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209"/>
        <w:gridCol w:w="695"/>
        <w:gridCol w:w="356"/>
        <w:gridCol w:w="178"/>
        <w:gridCol w:w="505"/>
        <w:gridCol w:w="397"/>
        <w:gridCol w:w="309"/>
        <w:gridCol w:w="212"/>
        <w:gridCol w:w="841"/>
        <w:gridCol w:w="618"/>
        <w:gridCol w:w="7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投标人全称</w:t>
            </w:r>
          </w:p>
        </w:tc>
        <w:tc>
          <w:tcPr>
            <w:tcW w:w="2698" w:type="dxa"/>
            <w:gridSpan w:val="5"/>
            <w:noWrap w:val="0"/>
            <w:vAlign w:val="top"/>
          </w:tcPr>
          <w:p>
            <w:pPr>
              <w:pStyle w:val="23"/>
              <w:spacing w:line="500" w:lineRule="exact"/>
              <w:rPr>
                <w:rFonts w:hint="eastAsia" w:ascii="宋体" w:hAnsi="宋体" w:eastAsia="宋体" w:cs="宋体"/>
                <w:sz w:val="24"/>
                <w:szCs w:val="24"/>
              </w:rPr>
            </w:pPr>
          </w:p>
        </w:tc>
        <w:tc>
          <w:tcPr>
            <w:tcW w:w="1423"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4259" w:type="dxa"/>
            <w:gridSpan w:val="4"/>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8380" w:type="dxa"/>
            <w:gridSpan w:val="13"/>
            <w:noWrap w:val="0"/>
            <w:vAlign w:val="center"/>
          </w:tcPr>
          <w:p>
            <w:pPr>
              <w:pStyle w:val="23"/>
              <w:numPr>
                <w:ilvl w:val="0"/>
                <w:numId w:val="3"/>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主营业务：             2、编号：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企业资质</w:t>
            </w:r>
          </w:p>
        </w:tc>
        <w:tc>
          <w:tcPr>
            <w:tcW w:w="8380" w:type="dxa"/>
            <w:gridSpan w:val="13"/>
            <w:noWrap w:val="0"/>
            <w:vAlign w:val="center"/>
          </w:tcPr>
          <w:p>
            <w:pPr>
              <w:pStyle w:val="23"/>
              <w:numPr>
                <w:ilvl w:val="0"/>
                <w:numId w:val="4"/>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等级：                 2、证书号：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企业成立日期</w:t>
            </w:r>
          </w:p>
        </w:tc>
        <w:tc>
          <w:tcPr>
            <w:tcW w:w="1260" w:type="dxa"/>
            <w:noWrap w:val="0"/>
            <w:vAlign w:val="center"/>
          </w:tcPr>
          <w:p>
            <w:pPr>
              <w:pStyle w:val="23"/>
              <w:spacing w:line="500" w:lineRule="exact"/>
              <w:jc w:val="center"/>
              <w:rPr>
                <w:rFonts w:hint="eastAsia" w:ascii="宋体" w:hAnsi="宋体" w:eastAsia="宋体" w:cs="宋体"/>
                <w:sz w:val="24"/>
                <w:szCs w:val="24"/>
              </w:rPr>
            </w:pPr>
          </w:p>
        </w:tc>
        <w:tc>
          <w:tcPr>
            <w:tcW w:w="1260"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注册资本（万元）</w:t>
            </w:r>
          </w:p>
        </w:tc>
        <w:tc>
          <w:tcPr>
            <w:tcW w:w="1080" w:type="dxa"/>
            <w:gridSpan w:val="3"/>
            <w:noWrap w:val="0"/>
            <w:vAlign w:val="top"/>
          </w:tcPr>
          <w:p>
            <w:pPr>
              <w:pStyle w:val="23"/>
              <w:spacing w:line="500" w:lineRule="exact"/>
              <w:rPr>
                <w:rFonts w:hint="eastAsia" w:ascii="宋体" w:hAnsi="宋体" w:eastAsia="宋体" w:cs="宋体"/>
                <w:sz w:val="24"/>
                <w:szCs w:val="24"/>
              </w:rPr>
            </w:pPr>
          </w:p>
        </w:tc>
        <w:tc>
          <w:tcPr>
            <w:tcW w:w="1980"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现有职工总人数</w:t>
            </w:r>
          </w:p>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（人）</w:t>
            </w:r>
          </w:p>
        </w:tc>
        <w:tc>
          <w:tcPr>
            <w:tcW w:w="2800" w:type="dxa"/>
            <w:gridSpan w:val="2"/>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380" w:type="dxa"/>
            <w:gridSpan w:val="13"/>
            <w:noWrap w:val="0"/>
            <w:vAlign w:val="top"/>
          </w:tcPr>
          <w:p>
            <w:pPr>
              <w:pStyle w:val="23"/>
              <w:numPr>
                <w:ilvl w:val="0"/>
                <w:numId w:val="5"/>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380" w:type="dxa"/>
            <w:gridSpan w:val="13"/>
            <w:noWrap w:val="0"/>
            <w:vAlign w:val="top"/>
          </w:tcPr>
          <w:p>
            <w:pPr>
              <w:pStyle w:val="23"/>
              <w:numPr>
                <w:ilvl w:val="0"/>
                <w:numId w:val="6"/>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8380" w:type="dxa"/>
            <w:gridSpan w:val="13"/>
            <w:noWrap w:val="0"/>
            <w:vAlign w:val="top"/>
          </w:tcPr>
          <w:p>
            <w:pPr>
              <w:pStyle w:val="23"/>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8380" w:type="dxa"/>
            <w:gridSpan w:val="13"/>
            <w:noWrap w:val="0"/>
            <w:vAlign w:val="top"/>
          </w:tcPr>
          <w:p>
            <w:pPr>
              <w:pStyle w:val="23"/>
              <w:numPr>
                <w:ilvl w:val="0"/>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1469" w:type="dxa"/>
            <w:gridSpan w:val="2"/>
            <w:noWrap w:val="0"/>
            <w:vAlign w:val="top"/>
          </w:tcPr>
          <w:p>
            <w:pPr>
              <w:pStyle w:val="23"/>
              <w:spacing w:line="500" w:lineRule="exact"/>
              <w:rPr>
                <w:rFonts w:hint="eastAsia" w:ascii="宋体" w:hAnsi="宋体" w:eastAsia="宋体" w:cs="宋体"/>
                <w:sz w:val="24"/>
                <w:szCs w:val="24"/>
              </w:rPr>
            </w:pPr>
          </w:p>
        </w:tc>
        <w:tc>
          <w:tcPr>
            <w:tcW w:w="695"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邮编</w:t>
            </w:r>
          </w:p>
        </w:tc>
        <w:tc>
          <w:tcPr>
            <w:tcW w:w="1039" w:type="dxa"/>
            <w:gridSpan w:val="3"/>
            <w:noWrap w:val="0"/>
            <w:vAlign w:val="top"/>
          </w:tcPr>
          <w:p>
            <w:pPr>
              <w:pStyle w:val="23"/>
              <w:spacing w:line="500" w:lineRule="exact"/>
              <w:rPr>
                <w:rFonts w:hint="eastAsia" w:ascii="宋体" w:hAnsi="宋体" w:eastAsia="宋体" w:cs="宋体"/>
                <w:sz w:val="24"/>
                <w:szCs w:val="24"/>
              </w:rPr>
            </w:pPr>
          </w:p>
        </w:tc>
        <w:tc>
          <w:tcPr>
            <w:tcW w:w="706"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53" w:type="dxa"/>
            <w:gridSpan w:val="2"/>
            <w:noWrap w:val="0"/>
            <w:vAlign w:val="top"/>
          </w:tcPr>
          <w:p>
            <w:pPr>
              <w:pStyle w:val="23"/>
              <w:spacing w:line="500" w:lineRule="exact"/>
              <w:rPr>
                <w:rFonts w:hint="eastAsia" w:ascii="宋体" w:hAnsi="宋体" w:eastAsia="宋体" w:cs="宋体"/>
                <w:sz w:val="24"/>
                <w:szCs w:val="24"/>
              </w:rPr>
            </w:pPr>
          </w:p>
        </w:tc>
        <w:tc>
          <w:tcPr>
            <w:tcW w:w="694"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272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548" w:type="dxa"/>
            <w:noWrap w:val="0"/>
            <w:vAlign w:val="center"/>
          </w:tcPr>
          <w:p>
            <w:pPr>
              <w:pStyle w:val="23"/>
              <w:spacing w:line="500" w:lineRule="exact"/>
              <w:rPr>
                <w:rFonts w:hint="eastAsia" w:ascii="宋体" w:hAnsi="宋体" w:eastAsia="宋体" w:cs="宋体"/>
                <w:sz w:val="24"/>
                <w:szCs w:val="24"/>
              </w:rPr>
            </w:pP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业</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简</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介</w:t>
            </w:r>
          </w:p>
        </w:tc>
        <w:tc>
          <w:tcPr>
            <w:tcW w:w="8380" w:type="dxa"/>
            <w:gridSpan w:val="13"/>
            <w:noWrap w:val="0"/>
            <w:vAlign w:val="top"/>
          </w:tcPr>
          <w:p>
            <w:pPr>
              <w:pStyle w:val="23"/>
              <w:spacing w:line="500" w:lineRule="exact"/>
              <w:rPr>
                <w:rFonts w:hint="eastAsia" w:ascii="宋体" w:hAnsi="宋体" w:eastAsia="宋体" w:cs="宋体"/>
                <w:sz w:val="24"/>
                <w:szCs w:val="24"/>
              </w:rPr>
            </w:pPr>
          </w:p>
        </w:tc>
      </w:tr>
    </w:tbl>
    <w:p>
      <w:pPr>
        <w:jc w:val="center"/>
        <w:outlineLvl w:val="0"/>
        <w:rPr>
          <w:rFonts w:hint="eastAsia" w:ascii="宋体" w:hAnsi="宋体" w:eastAsia="宋体" w:cs="宋体"/>
          <w:szCs w:val="21"/>
        </w:rPr>
      </w:pPr>
    </w:p>
    <w:p>
      <w:pPr>
        <w:jc w:val="center"/>
        <w:outlineLvl w:val="0"/>
        <w:rPr>
          <w:rFonts w:hint="eastAsia" w:ascii="宋体" w:hAnsi="宋体" w:eastAsia="宋体" w:cs="宋体"/>
          <w:szCs w:val="21"/>
        </w:rPr>
      </w:pPr>
    </w:p>
    <w:p>
      <w:pPr>
        <w:tabs>
          <w:tab w:val="center" w:pos="4629"/>
        </w:tabs>
        <w:spacing w:before="240" w:beforeLines="0" w:after="480" w:afterLines="0" w:line="500" w:lineRule="exact"/>
        <w:jc w:val="center"/>
        <w:rPr>
          <w:rFonts w:hint="eastAsia" w:ascii="宋体" w:hAnsi="宋体" w:eastAsia="宋体" w:cs="宋体"/>
          <w:sz w:val="32"/>
          <w:szCs w:val="32"/>
          <w:u w:val="single"/>
        </w:rPr>
      </w:pPr>
      <w:r>
        <w:rPr>
          <w:rFonts w:hint="eastAsia" w:ascii="宋体" w:hAnsi="宋体" w:eastAsia="宋体" w:cs="宋体"/>
          <w:b/>
          <w:sz w:val="32"/>
          <w:szCs w:val="32"/>
          <w:lang w:eastAsia="zh-CN"/>
        </w:rPr>
        <w:t>六</w:t>
      </w:r>
      <w:r>
        <w:rPr>
          <w:rFonts w:hint="eastAsia" w:ascii="宋体" w:hAnsi="宋体" w:eastAsia="宋体" w:cs="宋体"/>
          <w:b/>
          <w:sz w:val="32"/>
          <w:szCs w:val="32"/>
        </w:rPr>
        <w:t>、拟投入本项目组的工作人员汇总表</w:t>
      </w:r>
    </w:p>
    <w:tbl>
      <w:tblPr>
        <w:tblStyle w:val="42"/>
        <w:tblW w:w="908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977"/>
        <w:gridCol w:w="340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97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409" w:type="dxa"/>
            <w:noWrap w:val="0"/>
            <w:vAlign w:val="center"/>
          </w:tcPr>
          <w:p>
            <w:pPr>
              <w:pStyle w:val="23"/>
              <w:spacing w:line="5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执业注册资格</w:t>
            </w:r>
            <w:r>
              <w:rPr>
                <w:rFonts w:hint="eastAsia" w:hAnsi="宋体" w:cs="宋体"/>
                <w:sz w:val="24"/>
                <w:szCs w:val="24"/>
                <w:lang w:val="en-US" w:eastAsia="zh-CN"/>
              </w:rPr>
              <w:t>或职称</w:t>
            </w:r>
          </w:p>
        </w:tc>
        <w:tc>
          <w:tcPr>
            <w:tcW w:w="1364" w:type="dxa"/>
            <w:noWrap w:val="0"/>
            <w:vAlign w:val="center"/>
          </w:tcPr>
          <w:p>
            <w:pPr>
              <w:pStyle w:val="23"/>
              <w:spacing w:line="500" w:lineRule="exact"/>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1、项目组负责人</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2、项目组成员</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4、</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5、</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bl>
    <w:p>
      <w:pPr>
        <w:spacing w:before="240" w:beforeLines="0" w:after="480" w:afterLines="0" w:line="500" w:lineRule="exact"/>
        <w:rPr>
          <w:rFonts w:hint="eastAsia" w:ascii="宋体" w:hAnsi="宋体" w:eastAsia="宋体" w:cs="宋体"/>
        </w:rPr>
      </w:pPr>
      <w:r>
        <w:rPr>
          <w:rFonts w:hint="eastAsia" w:ascii="宋体" w:hAnsi="宋体" w:eastAsia="宋体" w:cs="宋体"/>
        </w:rPr>
        <w:t>投标人： (盖单位公章)</w:t>
      </w:r>
    </w:p>
    <w:p>
      <w:pPr>
        <w:spacing w:before="240" w:beforeLines="0" w:after="480" w:afterLines="0" w:line="500" w:lineRule="exact"/>
        <w:rPr>
          <w:rFonts w:hint="eastAsia" w:ascii="宋体" w:hAnsi="宋体" w:eastAsia="宋体" w:cs="宋体"/>
        </w:rPr>
      </w:pPr>
    </w:p>
    <w:p>
      <w:pPr>
        <w:pStyle w:val="2"/>
        <w:rPr>
          <w:rFonts w:hint="eastAsia"/>
        </w:rPr>
      </w:pPr>
    </w:p>
    <w:p>
      <w:pPr>
        <w:rPr>
          <w:rFonts w:hint="eastAsia"/>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七：其他资料</w:t>
      </w:r>
    </w:p>
    <w:p>
      <w:pPr>
        <w:pStyle w:val="2"/>
        <w:pageBreakBefore w:val="0"/>
        <w:widowControl w:val="0"/>
        <w:numPr>
          <w:ilvl w:val="0"/>
          <w:numId w:val="0"/>
        </w:numPr>
        <w:kinsoku/>
        <w:wordWrap/>
        <w:overflowPunct/>
        <w:topLinePunct w:val="0"/>
        <w:autoSpaceDE/>
        <w:autoSpaceDN/>
        <w:bidi w:val="0"/>
        <w:adjustRightInd/>
        <w:snapToGrid/>
        <w:spacing w:line="480" w:lineRule="auto"/>
        <w:ind w:left="240" w:leftChars="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1、营业执照复印件</w:t>
      </w:r>
    </w:p>
    <w:p>
      <w:pPr>
        <w:pStyle w:val="2"/>
        <w:pageBreakBefore w:val="0"/>
        <w:widowControl w:val="0"/>
        <w:numPr>
          <w:ilvl w:val="0"/>
          <w:numId w:val="0"/>
        </w:numPr>
        <w:kinsoku/>
        <w:wordWrap/>
        <w:overflowPunct/>
        <w:topLinePunct w:val="0"/>
        <w:autoSpaceDE/>
        <w:autoSpaceDN/>
        <w:bidi w:val="0"/>
        <w:adjustRightInd/>
        <w:snapToGrid/>
        <w:spacing w:line="480" w:lineRule="auto"/>
        <w:ind w:left="240" w:leftChars="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2、企业资质证书复印件</w:t>
      </w:r>
    </w:p>
    <w:p>
      <w:pPr>
        <w:pStyle w:val="2"/>
        <w:pageBreakBefore w:val="0"/>
        <w:widowControl w:val="0"/>
        <w:numPr>
          <w:ilvl w:val="0"/>
          <w:numId w:val="0"/>
        </w:numPr>
        <w:kinsoku/>
        <w:wordWrap/>
        <w:overflowPunct/>
        <w:topLinePunct w:val="0"/>
        <w:autoSpaceDE/>
        <w:autoSpaceDN/>
        <w:bidi w:val="0"/>
        <w:adjustRightInd/>
        <w:snapToGrid/>
        <w:spacing w:line="480" w:lineRule="auto"/>
        <w:ind w:left="240" w:leftChars="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3、企业业绩汇总及相关资料（详见第四章评标办法，综合评分法相关要求，格式自理）。</w:t>
      </w:r>
    </w:p>
    <w:p>
      <w:pPr>
        <w:pStyle w:val="2"/>
        <w:pageBreakBefore w:val="0"/>
        <w:widowControl w:val="0"/>
        <w:numPr>
          <w:ilvl w:val="0"/>
          <w:numId w:val="0"/>
        </w:numPr>
        <w:kinsoku/>
        <w:wordWrap/>
        <w:overflowPunct/>
        <w:topLinePunct w:val="0"/>
        <w:autoSpaceDE/>
        <w:autoSpaceDN/>
        <w:bidi w:val="0"/>
        <w:adjustRightInd/>
        <w:snapToGrid/>
        <w:spacing w:line="480" w:lineRule="auto"/>
        <w:ind w:left="240" w:leftChars="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4、工程项目负责人、安全员、施工员相关证书和身份证复印件及到岗承诺书（格式自理）</w:t>
      </w:r>
    </w:p>
    <w:p>
      <w:pPr>
        <w:pStyle w:val="2"/>
        <w:pageBreakBefore w:val="0"/>
        <w:widowControl w:val="0"/>
        <w:numPr>
          <w:ilvl w:val="0"/>
          <w:numId w:val="0"/>
        </w:numPr>
        <w:kinsoku/>
        <w:wordWrap/>
        <w:overflowPunct/>
        <w:topLinePunct w:val="0"/>
        <w:autoSpaceDE/>
        <w:autoSpaceDN/>
        <w:bidi w:val="0"/>
        <w:adjustRightInd/>
        <w:snapToGrid/>
        <w:spacing w:line="480" w:lineRule="auto"/>
        <w:ind w:left="240" w:leftChars="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5、基本账户复印件</w:t>
      </w:r>
    </w:p>
    <w:p>
      <w:pPr>
        <w:numPr>
          <w:ilvl w:val="0"/>
          <w:numId w:val="0"/>
        </w:numPr>
        <w:tabs>
          <w:tab w:val="center" w:pos="4629"/>
        </w:tabs>
        <w:spacing w:before="240" w:beforeLines="0" w:after="480" w:afterLines="0" w:line="500" w:lineRule="exact"/>
        <w:jc w:val="both"/>
        <w:rPr>
          <w:rFonts w:hint="eastAsia" w:asciiTheme="minorEastAsia" w:hAnsiTheme="minorEastAsia" w:eastAsiaTheme="minorEastAsia" w:cstheme="minorEastAsia"/>
          <w:bCs/>
          <w:spacing w:val="37"/>
          <w:sz w:val="24"/>
          <w:szCs w:val="24"/>
        </w:rPr>
      </w:pP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 w:val="24"/>
          <w:lang w:eastAsia="zh-CN"/>
        </w:rPr>
      </w:pPr>
    </w:p>
    <w:p>
      <w:pPr>
        <w:rPr>
          <w:rFonts w:hint="eastAsia"/>
          <w:sz w:val="24"/>
          <w:lang w:eastAsia="zh-CN"/>
        </w:rPr>
      </w:pPr>
    </w:p>
    <w:p>
      <w:pPr>
        <w:pStyle w:val="2"/>
        <w:rPr>
          <w:rFonts w:hint="eastAsia"/>
          <w:lang w:eastAsia="zh-CN"/>
        </w:rPr>
      </w:pPr>
    </w:p>
    <w:p>
      <w:pPr>
        <w:rPr>
          <w:rFonts w:hint="eastAsia"/>
          <w:lang w:eastAsia="zh-CN"/>
        </w:rPr>
      </w:pPr>
    </w:p>
    <w:p>
      <w:pPr>
        <w:pStyle w:val="2"/>
        <w:rPr>
          <w:rFonts w:hint="eastAsia"/>
          <w:lang w:val="en-US" w:eastAsia="zh-CN"/>
        </w:rPr>
      </w:pPr>
      <w:r>
        <w:rPr>
          <w:rFonts w:hint="eastAsia"/>
          <w:lang w:val="en-US" w:eastAsia="zh-CN"/>
        </w:rPr>
        <w:t>附件控制价：</w:t>
      </w:r>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27"/>
        <w:gridCol w:w="1201"/>
        <w:gridCol w:w="727"/>
        <w:gridCol w:w="1124"/>
        <w:gridCol w:w="924"/>
        <w:gridCol w:w="1359"/>
        <w:gridCol w:w="2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1" w:hRule="atLeast"/>
        </w:trPr>
        <w:tc>
          <w:tcPr>
            <w:tcW w:w="0" w:type="auto"/>
            <w:gridSpan w:val="7"/>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猪、牛、羊车间及污水管理用房门、窗控制价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9" w:hRule="atLeast"/>
        </w:trPr>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面积（m2)</w:t>
            </w:r>
          </w:p>
        </w:tc>
        <w:tc>
          <w:tcPr>
            <w:tcW w:w="0" w:type="auto"/>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单价（元/m2）</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乙级钢质防火门保温型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31.71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19026.00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特级防火卷帘门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47.76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18148.80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耐火极限达3小时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甲级钢木质防火门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48.12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18285.60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乙级钢木质防火门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112.14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42613.20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甲级钢质防火门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43.56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405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17641.80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钢质防盗门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34.56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14515.20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断桥铝合金连窗门（中空玻璃）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48.26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545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26301.70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铝合金平开门（带亮子）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2700.00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铝合金平开门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21.84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560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12230.40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装饰实木门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2.31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808.50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铝合金卷帘门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29.40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8232.00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钢质保温滑升门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44.88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598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26838.24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08CJ17 SM4-2427A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铝合金推拉窗（单玻）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5.04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345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1738.80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断桥铝合金平开窗（中空玻璃）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439.31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465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204279.15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铝合金平开窗（单玻）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308.13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345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106304.85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断桥铝合金平开窗（中空玻璃）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62.58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32854.50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含救援窗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铝合金平开窗（单玻）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111.78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345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38564.10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含救援窗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断桥铝合金电动排烟窗（中空玻璃）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44.66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580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25902.80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铝合金电动排烟窗（单玻）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125.84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60403.20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防坠落钢丝网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铝合金电动排烟窗（单玻）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200.58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398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79830.84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甲级防火窗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3.78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458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1731.24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甲级防火落地窗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197.70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128505.00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6高透光双银（Low-E）+12A+8透明玻璃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乙级防火落地窗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41.40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638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26413.20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6高透光双银（Low-E）+12A+8透明玻璃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金属百叶窗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17.18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3607.80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金属百叶窗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1.20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276.00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含防坠落钢丝网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H500mm成品防鼠档板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18.85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3770.00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不锈钢防盗栅栏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22.68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3628.80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2070.25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925151.72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0" w:type="auto"/>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材质要求：铝门窗主型材壁厚不应低于以下数值：门结构型材2.2mm，窗结构型材1.8mm；塑料门窗主型材壁厚不应低于以下数值：门型材可视面2.8mm，非可视面2.5mm；窗型材可视面2.5mm，非可视面2.2mm。框料表面要求光滑平整。底层隐框半隐框幕墙所采用的结构粘结材料必须是中性硅酮结构密封胶，其性能必须符合《建筑幕墙用硅酮结构密封胶》JG/T475-2015及《硅酮和改性硅酮建筑密封胶》GB/T14683-2017；</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2、结合业主意见除猪车间办公区域及分割车间间门窗玻璃及型材不变（断桥铝合金，6中透光+9中空+6），其余玻璃改为单层玻璃，断桥铝改为普通铝合金；                                                                                         3、门窗单玻采用60系列，其余采用88系列，卷帘门、滑升门及电动排烟窗含电动装置；                                                                              4、百叶窗采用铝合金百叶，铝合金表面为PVDF氟碳喷涂，百叶窗有效通风率应≥70%，下雨天气中，雨量在75mm/小时、风速在13米/秒情况下，外墙百叶不得有漏水。</w:t>
            </w:r>
          </w:p>
        </w:tc>
      </w:tr>
    </w:tbl>
    <w:p>
      <w:pPr>
        <w:pStyle w:val="2"/>
        <w:rPr>
          <w:rFonts w:hint="eastAsia"/>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E78F84-DCB9-4C2C-8994-1209AED64E0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AD93B74-F869-433E-8DD5-0BBDD0B0153D}"/>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5E8D232E-1743-4FED-9047-9B9E7684E559}"/>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4" w:fontKey="{92B3718E-C34C-4A0E-B404-0266175CD438}"/>
  </w:font>
  <w:font w:name="Wingdings 2">
    <w:panose1 w:val="05020102010507070707"/>
    <w:charset w:val="02"/>
    <w:family w:val="auto"/>
    <w:pitch w:val="default"/>
    <w:sig w:usb0="00000000" w:usb1="00000000" w:usb2="00000000" w:usb3="00000000" w:csb0="80000000" w:csb1="00000000"/>
    <w:embedRegular r:id="rId5" w:fontKey="{984A8817-E081-435D-AA8F-462255B0430A}"/>
  </w:font>
  <w:font w:name="仿宋">
    <w:panose1 w:val="02010609060101010101"/>
    <w:charset w:val="86"/>
    <w:family w:val="auto"/>
    <w:pitch w:val="default"/>
    <w:sig w:usb0="800002BF" w:usb1="38CF7CFA" w:usb2="00000016" w:usb3="00000000" w:csb0="00040001" w:csb1="00000000"/>
    <w:embedRegular r:id="rId6" w:fontKey="{133E5EFE-3C98-430C-B83F-1ADE375C9848}"/>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30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1DE7"/>
    <w:multiLevelType w:val="singleLevel"/>
    <w:tmpl w:val="935A1DE7"/>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singleLevel"/>
    <w:tmpl w:val="00000009"/>
    <w:lvl w:ilvl="0" w:tentative="0">
      <w:start w:val="1"/>
      <w:numFmt w:val="decimal"/>
      <w:suff w:val="nothing"/>
      <w:lvlText w:val="%1、"/>
      <w:lvlJc w:val="left"/>
    </w:lvl>
  </w:abstractNum>
  <w:abstractNum w:abstractNumId="5">
    <w:nsid w:val="0000000B"/>
    <w:multiLevelType w:val="singleLevel"/>
    <w:tmpl w:val="0000000B"/>
    <w:lvl w:ilvl="0" w:tentative="0">
      <w:start w:val="1"/>
      <w:numFmt w:val="decimal"/>
      <w:suff w:val="nothing"/>
      <w:lvlText w:val="%1、"/>
      <w:lvlJc w:val="left"/>
    </w:lvl>
  </w:abstractNum>
  <w:abstractNum w:abstractNumId="6">
    <w:nsid w:val="0000000D"/>
    <w:multiLevelType w:val="singleLevel"/>
    <w:tmpl w:val="0000000D"/>
    <w:lvl w:ilvl="0" w:tentative="0">
      <w:start w:val="1"/>
      <w:numFmt w:val="decimal"/>
      <w:suff w:val="nothing"/>
      <w:lvlText w:val="%1、"/>
      <w:lvlJc w:val="left"/>
    </w:lvl>
  </w:abstractNum>
  <w:abstractNum w:abstractNumId="7">
    <w:nsid w:val="42FBBC9A"/>
    <w:multiLevelType w:val="singleLevel"/>
    <w:tmpl w:val="42FBBC9A"/>
    <w:lvl w:ilvl="0" w:tentative="0">
      <w:start w:val="4"/>
      <w:numFmt w:val="chineseCounting"/>
      <w:suff w:val="space"/>
      <w:lvlText w:val="第%1章"/>
      <w:lvlJc w:val="left"/>
      <w:rPr>
        <w:rFonts w:hint="eastAsia"/>
      </w:rPr>
    </w:lvl>
  </w:abstractNum>
  <w:num w:numId="1">
    <w:abstractNumId w:val="0"/>
  </w:num>
  <w:num w:numId="2">
    <w:abstractNumId w:val="7"/>
  </w:num>
  <w:num w:numId="3">
    <w:abstractNumId w:val="4"/>
  </w:num>
  <w:num w:numId="4">
    <w:abstractNumId w:val="3"/>
  </w:num>
  <w:num w:numId="5">
    <w:abstractNumId w:val="6"/>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172A27"/>
    <w:rsid w:val="00193933"/>
    <w:rsid w:val="00703C65"/>
    <w:rsid w:val="00D03D5F"/>
    <w:rsid w:val="00F40F02"/>
    <w:rsid w:val="01A00C5B"/>
    <w:rsid w:val="01AE0253"/>
    <w:rsid w:val="01B26852"/>
    <w:rsid w:val="01BE7323"/>
    <w:rsid w:val="02346AB3"/>
    <w:rsid w:val="025C6578"/>
    <w:rsid w:val="038F1724"/>
    <w:rsid w:val="03C70711"/>
    <w:rsid w:val="043D60CC"/>
    <w:rsid w:val="045262AF"/>
    <w:rsid w:val="04685C0F"/>
    <w:rsid w:val="058F76A9"/>
    <w:rsid w:val="05A46404"/>
    <w:rsid w:val="0644168A"/>
    <w:rsid w:val="065857ED"/>
    <w:rsid w:val="065C7A1D"/>
    <w:rsid w:val="06BC2E1B"/>
    <w:rsid w:val="0737309F"/>
    <w:rsid w:val="07CD1375"/>
    <w:rsid w:val="08017B21"/>
    <w:rsid w:val="08514B8D"/>
    <w:rsid w:val="08C640F8"/>
    <w:rsid w:val="09030699"/>
    <w:rsid w:val="096D52D2"/>
    <w:rsid w:val="09A70C71"/>
    <w:rsid w:val="0A051F93"/>
    <w:rsid w:val="0A36560E"/>
    <w:rsid w:val="0A527310"/>
    <w:rsid w:val="0A8729A8"/>
    <w:rsid w:val="0AA7399A"/>
    <w:rsid w:val="0C7845D5"/>
    <w:rsid w:val="0C8D24D0"/>
    <w:rsid w:val="0DC3667D"/>
    <w:rsid w:val="0EA726DD"/>
    <w:rsid w:val="0F5840E0"/>
    <w:rsid w:val="0FE17CA4"/>
    <w:rsid w:val="10101691"/>
    <w:rsid w:val="11C5043F"/>
    <w:rsid w:val="11D05E7E"/>
    <w:rsid w:val="11DD4FBA"/>
    <w:rsid w:val="12032D4C"/>
    <w:rsid w:val="1298380F"/>
    <w:rsid w:val="129C6CE6"/>
    <w:rsid w:val="14C74196"/>
    <w:rsid w:val="154220EE"/>
    <w:rsid w:val="1605006D"/>
    <w:rsid w:val="16E84F99"/>
    <w:rsid w:val="19181CAB"/>
    <w:rsid w:val="194239A5"/>
    <w:rsid w:val="19667165"/>
    <w:rsid w:val="19AA4083"/>
    <w:rsid w:val="1A7E28C3"/>
    <w:rsid w:val="1A9E3253"/>
    <w:rsid w:val="1BC25A57"/>
    <w:rsid w:val="1C7C5B27"/>
    <w:rsid w:val="1CEC7CF0"/>
    <w:rsid w:val="1DC1221D"/>
    <w:rsid w:val="1E2A1B70"/>
    <w:rsid w:val="1E571E5F"/>
    <w:rsid w:val="1E633EC0"/>
    <w:rsid w:val="1E7B23CC"/>
    <w:rsid w:val="1E845A30"/>
    <w:rsid w:val="1EBC079F"/>
    <w:rsid w:val="1F074516"/>
    <w:rsid w:val="1F6B3CB9"/>
    <w:rsid w:val="1F757D50"/>
    <w:rsid w:val="1FDC1A61"/>
    <w:rsid w:val="202F399B"/>
    <w:rsid w:val="20533824"/>
    <w:rsid w:val="20B11D22"/>
    <w:rsid w:val="20D23EAF"/>
    <w:rsid w:val="21512370"/>
    <w:rsid w:val="225713E5"/>
    <w:rsid w:val="22ED3308"/>
    <w:rsid w:val="233B3CA0"/>
    <w:rsid w:val="23923F3A"/>
    <w:rsid w:val="23B27078"/>
    <w:rsid w:val="257912FA"/>
    <w:rsid w:val="25DC5FA2"/>
    <w:rsid w:val="269A4A2E"/>
    <w:rsid w:val="26C03072"/>
    <w:rsid w:val="26D02619"/>
    <w:rsid w:val="26E60319"/>
    <w:rsid w:val="278A65AC"/>
    <w:rsid w:val="27D45E99"/>
    <w:rsid w:val="2812532E"/>
    <w:rsid w:val="28225715"/>
    <w:rsid w:val="2825219C"/>
    <w:rsid w:val="28EF0C2A"/>
    <w:rsid w:val="2910697B"/>
    <w:rsid w:val="29C9798D"/>
    <w:rsid w:val="29EB65EB"/>
    <w:rsid w:val="29EF0AA3"/>
    <w:rsid w:val="2AD665EE"/>
    <w:rsid w:val="2B435EC3"/>
    <w:rsid w:val="2C433703"/>
    <w:rsid w:val="2D030AE6"/>
    <w:rsid w:val="2EF967AD"/>
    <w:rsid w:val="2F207CF0"/>
    <w:rsid w:val="2F7549E3"/>
    <w:rsid w:val="30B47766"/>
    <w:rsid w:val="312F15F9"/>
    <w:rsid w:val="31D8371B"/>
    <w:rsid w:val="32D21971"/>
    <w:rsid w:val="330F7774"/>
    <w:rsid w:val="334A32AB"/>
    <w:rsid w:val="335637F5"/>
    <w:rsid w:val="33811C82"/>
    <w:rsid w:val="339430F0"/>
    <w:rsid w:val="33A107AE"/>
    <w:rsid w:val="33F86624"/>
    <w:rsid w:val="356F1790"/>
    <w:rsid w:val="35B33F01"/>
    <w:rsid w:val="35DF6418"/>
    <w:rsid w:val="361E06F8"/>
    <w:rsid w:val="37C16E80"/>
    <w:rsid w:val="38342C3F"/>
    <w:rsid w:val="38800888"/>
    <w:rsid w:val="389C03BD"/>
    <w:rsid w:val="39D97D59"/>
    <w:rsid w:val="3A0B6C49"/>
    <w:rsid w:val="3A83183F"/>
    <w:rsid w:val="3B034672"/>
    <w:rsid w:val="3B806E1C"/>
    <w:rsid w:val="3BD02B46"/>
    <w:rsid w:val="3C522566"/>
    <w:rsid w:val="3D0A329B"/>
    <w:rsid w:val="3D141F11"/>
    <w:rsid w:val="3D214E10"/>
    <w:rsid w:val="3D463B9F"/>
    <w:rsid w:val="3EF47E87"/>
    <w:rsid w:val="3F380FAB"/>
    <w:rsid w:val="3F7706C0"/>
    <w:rsid w:val="3FB61D1E"/>
    <w:rsid w:val="3FF46061"/>
    <w:rsid w:val="4037522A"/>
    <w:rsid w:val="4063462D"/>
    <w:rsid w:val="40B10914"/>
    <w:rsid w:val="40C9460C"/>
    <w:rsid w:val="40CE5F26"/>
    <w:rsid w:val="411F5B7D"/>
    <w:rsid w:val="412D3E26"/>
    <w:rsid w:val="41A63F34"/>
    <w:rsid w:val="436C5E2D"/>
    <w:rsid w:val="437E6A5B"/>
    <w:rsid w:val="43AF585B"/>
    <w:rsid w:val="442067EF"/>
    <w:rsid w:val="44233468"/>
    <w:rsid w:val="45455886"/>
    <w:rsid w:val="45607BB1"/>
    <w:rsid w:val="45B927DD"/>
    <w:rsid w:val="46516D05"/>
    <w:rsid w:val="469F0A9E"/>
    <w:rsid w:val="46BA36E0"/>
    <w:rsid w:val="474E51F1"/>
    <w:rsid w:val="47827AE0"/>
    <w:rsid w:val="484F28E1"/>
    <w:rsid w:val="48CF5C36"/>
    <w:rsid w:val="49F75108"/>
    <w:rsid w:val="4A0830FB"/>
    <w:rsid w:val="4A621CD0"/>
    <w:rsid w:val="4B0A3A73"/>
    <w:rsid w:val="4B1C0CA8"/>
    <w:rsid w:val="4B5B288F"/>
    <w:rsid w:val="4B5C6F5D"/>
    <w:rsid w:val="4C0250F8"/>
    <w:rsid w:val="4C0E1C7B"/>
    <w:rsid w:val="4C3363A1"/>
    <w:rsid w:val="4C556E4C"/>
    <w:rsid w:val="4C9A3F50"/>
    <w:rsid w:val="4D492011"/>
    <w:rsid w:val="4D563963"/>
    <w:rsid w:val="4D6F005D"/>
    <w:rsid w:val="4DC4669F"/>
    <w:rsid w:val="4DC95A8B"/>
    <w:rsid w:val="4DD359C4"/>
    <w:rsid w:val="4EA07F3C"/>
    <w:rsid w:val="4F7D6943"/>
    <w:rsid w:val="4F806125"/>
    <w:rsid w:val="4FF47B65"/>
    <w:rsid w:val="4FF71CFC"/>
    <w:rsid w:val="500D4DCD"/>
    <w:rsid w:val="508514D6"/>
    <w:rsid w:val="50DC0239"/>
    <w:rsid w:val="50F14121"/>
    <w:rsid w:val="51231DF2"/>
    <w:rsid w:val="51AE71F6"/>
    <w:rsid w:val="51D72CB1"/>
    <w:rsid w:val="529657D0"/>
    <w:rsid w:val="52D30F0B"/>
    <w:rsid w:val="52ED6177"/>
    <w:rsid w:val="53350847"/>
    <w:rsid w:val="5432541E"/>
    <w:rsid w:val="54BE1E3F"/>
    <w:rsid w:val="54CC3A0C"/>
    <w:rsid w:val="54D658C5"/>
    <w:rsid w:val="550B0EFC"/>
    <w:rsid w:val="555302BE"/>
    <w:rsid w:val="56D3497A"/>
    <w:rsid w:val="56EB61C5"/>
    <w:rsid w:val="571E57DC"/>
    <w:rsid w:val="5752344C"/>
    <w:rsid w:val="58594DCC"/>
    <w:rsid w:val="58711B6E"/>
    <w:rsid w:val="587946DE"/>
    <w:rsid w:val="58DB426C"/>
    <w:rsid w:val="58E1190D"/>
    <w:rsid w:val="58FF2585"/>
    <w:rsid w:val="592B5E3D"/>
    <w:rsid w:val="59A97593"/>
    <w:rsid w:val="5A123B43"/>
    <w:rsid w:val="5A1F6527"/>
    <w:rsid w:val="5A2B7352"/>
    <w:rsid w:val="5A4F4E45"/>
    <w:rsid w:val="5A76409B"/>
    <w:rsid w:val="5AC75083"/>
    <w:rsid w:val="5ADC5E19"/>
    <w:rsid w:val="5B57399E"/>
    <w:rsid w:val="5B7A44F1"/>
    <w:rsid w:val="5BC81F59"/>
    <w:rsid w:val="5BCA5273"/>
    <w:rsid w:val="5BF64EA5"/>
    <w:rsid w:val="5C122023"/>
    <w:rsid w:val="5C3E5E95"/>
    <w:rsid w:val="5C584438"/>
    <w:rsid w:val="5D0B0EA4"/>
    <w:rsid w:val="5D1F1716"/>
    <w:rsid w:val="5D6E4C3E"/>
    <w:rsid w:val="5DC31F1F"/>
    <w:rsid w:val="5DD92A99"/>
    <w:rsid w:val="5DE27529"/>
    <w:rsid w:val="5E333A0C"/>
    <w:rsid w:val="5E353760"/>
    <w:rsid w:val="5F633D97"/>
    <w:rsid w:val="5F794FD8"/>
    <w:rsid w:val="5F9863B3"/>
    <w:rsid w:val="5FEB21EB"/>
    <w:rsid w:val="60807933"/>
    <w:rsid w:val="60B40B05"/>
    <w:rsid w:val="611E4F49"/>
    <w:rsid w:val="61DA1914"/>
    <w:rsid w:val="621E18D8"/>
    <w:rsid w:val="62592108"/>
    <w:rsid w:val="627A50C0"/>
    <w:rsid w:val="62C72DF2"/>
    <w:rsid w:val="62CE653B"/>
    <w:rsid w:val="63126C60"/>
    <w:rsid w:val="632B7B03"/>
    <w:rsid w:val="633F5689"/>
    <w:rsid w:val="64633954"/>
    <w:rsid w:val="64747F00"/>
    <w:rsid w:val="65622887"/>
    <w:rsid w:val="66AD406D"/>
    <w:rsid w:val="66DF07B8"/>
    <w:rsid w:val="66F80573"/>
    <w:rsid w:val="671C07A9"/>
    <w:rsid w:val="67421BF9"/>
    <w:rsid w:val="67900263"/>
    <w:rsid w:val="682D6DC6"/>
    <w:rsid w:val="687C39BD"/>
    <w:rsid w:val="68A83D53"/>
    <w:rsid w:val="691B1349"/>
    <w:rsid w:val="69934A52"/>
    <w:rsid w:val="69E10F81"/>
    <w:rsid w:val="6A4C602D"/>
    <w:rsid w:val="6B1306D6"/>
    <w:rsid w:val="6B282026"/>
    <w:rsid w:val="6B4F1E6C"/>
    <w:rsid w:val="6BA16DE0"/>
    <w:rsid w:val="6C195B2B"/>
    <w:rsid w:val="6C2B259B"/>
    <w:rsid w:val="6C3E2EE3"/>
    <w:rsid w:val="6CC2052E"/>
    <w:rsid w:val="6CD7098F"/>
    <w:rsid w:val="6DBF0F93"/>
    <w:rsid w:val="6E32177C"/>
    <w:rsid w:val="6E5339CF"/>
    <w:rsid w:val="6F0174A6"/>
    <w:rsid w:val="6F920654"/>
    <w:rsid w:val="6FBC0729"/>
    <w:rsid w:val="70292370"/>
    <w:rsid w:val="704049C6"/>
    <w:rsid w:val="706A7393"/>
    <w:rsid w:val="709468C3"/>
    <w:rsid w:val="7109160D"/>
    <w:rsid w:val="71525EA2"/>
    <w:rsid w:val="715C163A"/>
    <w:rsid w:val="721065DD"/>
    <w:rsid w:val="726374E1"/>
    <w:rsid w:val="72B91DA6"/>
    <w:rsid w:val="735E6C99"/>
    <w:rsid w:val="73696082"/>
    <w:rsid w:val="739419D4"/>
    <w:rsid w:val="73FF7E83"/>
    <w:rsid w:val="7478091A"/>
    <w:rsid w:val="754B3A1B"/>
    <w:rsid w:val="75796B20"/>
    <w:rsid w:val="759210D0"/>
    <w:rsid w:val="759F5B15"/>
    <w:rsid w:val="75FC4E22"/>
    <w:rsid w:val="76065718"/>
    <w:rsid w:val="78833EFA"/>
    <w:rsid w:val="790F2350"/>
    <w:rsid w:val="79BA116F"/>
    <w:rsid w:val="79EE0C57"/>
    <w:rsid w:val="7A956099"/>
    <w:rsid w:val="7B497C36"/>
    <w:rsid w:val="7B6503BE"/>
    <w:rsid w:val="7B7870BD"/>
    <w:rsid w:val="7BF12283"/>
    <w:rsid w:val="7C1E2A06"/>
    <w:rsid w:val="7C520487"/>
    <w:rsid w:val="7C6E2403"/>
    <w:rsid w:val="7D233B80"/>
    <w:rsid w:val="7D845FBE"/>
    <w:rsid w:val="7E0E1C67"/>
    <w:rsid w:val="7EA22D23"/>
    <w:rsid w:val="7EFB055C"/>
    <w:rsid w:val="7F0561F0"/>
    <w:rsid w:val="7F7F4D25"/>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2"/>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3"/>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4"/>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5"/>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6"/>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7"/>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4">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rPr>
      <w:kern w:val="2"/>
      <w:sz w:val="21"/>
      <w:szCs w:val="24"/>
      <w:shd w:val="clear" w:color="auto" w:fill="000080"/>
    </w:rPr>
  </w:style>
  <w:style w:type="paragraph" w:styleId="15">
    <w:name w:val="annotation text"/>
    <w:basedOn w:val="1"/>
    <w:link w:val="69"/>
    <w:qFormat/>
    <w:uiPriority w:val="0"/>
    <w:pPr>
      <w:jc w:val="left"/>
    </w:pPr>
    <w:rPr>
      <w:kern w:val="2"/>
      <w:sz w:val="21"/>
      <w:szCs w:val="24"/>
    </w:rPr>
  </w:style>
  <w:style w:type="paragraph" w:styleId="16">
    <w:name w:val="Body Text 3"/>
    <w:basedOn w:val="1"/>
    <w:link w:val="70"/>
    <w:qFormat/>
    <w:uiPriority w:val="0"/>
    <w:pPr>
      <w:spacing w:after="120" w:afterLines="0"/>
    </w:pPr>
    <w:rPr>
      <w:rFonts w:eastAsia="宋体"/>
      <w:kern w:val="2"/>
      <w:sz w:val="16"/>
      <w:szCs w:val="16"/>
      <w:lang w:val="en-US" w:eastAsia="zh-CN" w:bidi="ar-SA"/>
    </w:rPr>
  </w:style>
  <w:style w:type="paragraph" w:styleId="17">
    <w:name w:val="Closing"/>
    <w:basedOn w:val="1"/>
    <w:qFormat/>
    <w:uiPriority w:val="0"/>
    <w:pPr>
      <w:ind w:leftChars="2100"/>
    </w:pPr>
    <w:rPr>
      <w:rFonts w:hint="eastAsia" w:ascii="仿宋_GB2312" w:eastAsia="仿宋_GB2312"/>
      <w:sz w:val="30"/>
    </w:rPr>
  </w:style>
  <w:style w:type="paragraph" w:styleId="18">
    <w:name w:val="Body Text"/>
    <w:basedOn w:val="1"/>
    <w:link w:val="71"/>
    <w:qFormat/>
    <w:uiPriority w:val="0"/>
    <w:pPr>
      <w:spacing w:after="120" w:afterLines="0"/>
    </w:pPr>
    <w:rPr>
      <w:kern w:val="2"/>
      <w:sz w:val="21"/>
      <w:szCs w:val="24"/>
    </w:rPr>
  </w:style>
  <w:style w:type="paragraph" w:styleId="19">
    <w:name w:val="Body Text Indent"/>
    <w:basedOn w:val="1"/>
    <w:link w:val="72"/>
    <w:qFormat/>
    <w:uiPriority w:val="0"/>
    <w:pPr>
      <w:spacing w:after="120" w:afterLines="0"/>
      <w:ind w:left="420" w:leftChars="200"/>
    </w:pPr>
    <w:rPr>
      <w:kern w:val="2"/>
      <w:sz w:val="21"/>
      <w:szCs w:val="24"/>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link w:val="73"/>
    <w:qFormat/>
    <w:uiPriority w:val="0"/>
    <w:rPr>
      <w:rFonts w:ascii="宋体" w:hAnsi="Courier New" w:eastAsia="宋体" w:cs="Courier New"/>
      <w:kern w:val="2"/>
      <w:sz w:val="21"/>
      <w:szCs w:val="21"/>
      <w:lang w:val="en-US" w:eastAsia="zh-CN" w:bidi="ar-SA"/>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4"/>
    <w:qFormat/>
    <w:uiPriority w:val="0"/>
    <w:pPr>
      <w:ind w:left="100" w:leftChars="2500"/>
    </w:pPr>
    <w:rPr>
      <w:kern w:val="2"/>
      <w:sz w:val="21"/>
      <w:szCs w:val="24"/>
    </w:rPr>
  </w:style>
  <w:style w:type="paragraph" w:styleId="26">
    <w:name w:val="Body Text Indent 2"/>
    <w:basedOn w:val="1"/>
    <w:link w:val="75"/>
    <w:qFormat/>
    <w:uiPriority w:val="0"/>
    <w:pPr>
      <w:spacing w:after="120" w:afterLines="0" w:line="480" w:lineRule="auto"/>
      <w:ind w:left="420" w:leftChars="200"/>
    </w:pPr>
    <w:rPr>
      <w:kern w:val="2"/>
      <w:sz w:val="21"/>
      <w:szCs w:val="24"/>
    </w:rPr>
  </w:style>
  <w:style w:type="paragraph" w:styleId="27">
    <w:name w:val="Balloon Text"/>
    <w:basedOn w:val="1"/>
    <w:link w:val="76"/>
    <w:qFormat/>
    <w:uiPriority w:val="0"/>
    <w:rPr>
      <w:kern w:val="2"/>
      <w:sz w:val="18"/>
      <w:szCs w:val="18"/>
    </w:rPr>
  </w:style>
  <w:style w:type="paragraph" w:styleId="28">
    <w:name w:val="footer"/>
    <w:basedOn w:val="1"/>
    <w:link w:val="77"/>
    <w:qFormat/>
    <w:uiPriority w:val="0"/>
    <w:pPr>
      <w:tabs>
        <w:tab w:val="center" w:pos="4153"/>
        <w:tab w:val="right" w:pos="8306"/>
      </w:tabs>
      <w:snapToGrid w:val="0"/>
      <w:jc w:val="left"/>
    </w:pPr>
    <w:rPr>
      <w:kern w:val="2"/>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index heading"/>
    <w:basedOn w:val="1"/>
    <w:next w:val="33"/>
    <w:semiHidden/>
    <w:qFormat/>
    <w:uiPriority w:val="0"/>
  </w:style>
  <w:style w:type="paragraph" w:styleId="33">
    <w:name w:val="index 1"/>
    <w:basedOn w:val="1"/>
    <w:next w:val="1"/>
    <w:qFormat/>
    <w:uiPriority w:val="0"/>
    <w:rPr>
      <w:rFonts w:ascii="宋体" w:hAnsi="宋体"/>
      <w:b/>
      <w:bCs/>
    </w:rPr>
  </w:style>
  <w:style w:type="paragraph" w:styleId="34">
    <w:name w:val="Subtitle"/>
    <w:basedOn w:val="1"/>
    <w:next w:val="1"/>
    <w:link w:val="79"/>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0"/>
    <w:qFormat/>
    <w:uiPriority w:val="0"/>
    <w:pPr>
      <w:spacing w:after="120" w:afterLines="0"/>
      <w:ind w:left="420" w:leftChars="200"/>
    </w:pPr>
    <w:rPr>
      <w:kern w:val="2"/>
      <w:sz w:val="16"/>
      <w:szCs w:val="16"/>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0">
    <w:name w:val="Title"/>
    <w:basedOn w:val="1"/>
    <w:next w:val="1"/>
    <w:link w:val="81"/>
    <w:qFormat/>
    <w:uiPriority w:val="0"/>
    <w:pPr>
      <w:spacing w:before="240" w:beforeLines="0" w:after="60" w:afterLines="0"/>
      <w:jc w:val="center"/>
      <w:outlineLvl w:val="0"/>
    </w:pPr>
    <w:rPr>
      <w:rFonts w:ascii="Cambria" w:hAnsi="Cambria"/>
      <w:b/>
      <w:bCs/>
      <w:kern w:val="2"/>
      <w:sz w:val="32"/>
      <w:szCs w:val="32"/>
    </w:rPr>
  </w:style>
  <w:style w:type="paragraph" w:styleId="41">
    <w:name w:val="annotation subject"/>
    <w:basedOn w:val="15"/>
    <w:next w:val="15"/>
    <w:link w:val="82"/>
    <w:qFormat/>
    <w:uiPriority w:val="0"/>
    <w:rPr>
      <w:b/>
      <w:bCs/>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0"/>
    <w:rPr>
      <w:color w:val="0000FF"/>
      <w:u w:val="non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标题 2 字符1"/>
    <w:link w:val="2"/>
    <w:qFormat/>
    <w:uiPriority w:val="0"/>
    <w:rPr>
      <w:rFonts w:ascii="Arial" w:hAnsi="Arial" w:eastAsia="黑体"/>
      <w:b/>
      <w:bCs/>
      <w:kern w:val="2"/>
      <w:sz w:val="32"/>
      <w:szCs w:val="32"/>
    </w:rPr>
  </w:style>
  <w:style w:type="character" w:customStyle="1" w:styleId="60">
    <w:name w:val="标题 1 字符1"/>
    <w:link w:val="3"/>
    <w:qFormat/>
    <w:uiPriority w:val="0"/>
    <w:rPr>
      <w:b/>
      <w:bCs/>
      <w:kern w:val="44"/>
      <w:sz w:val="44"/>
      <w:szCs w:val="44"/>
    </w:rPr>
  </w:style>
  <w:style w:type="character" w:customStyle="1" w:styleId="61">
    <w:name w:val="标题 3 Char Char"/>
    <w:basedOn w:val="44"/>
    <w:link w:val="4"/>
    <w:qFormat/>
    <w:uiPriority w:val="0"/>
    <w:rPr>
      <w:b/>
      <w:bCs/>
      <w:kern w:val="2"/>
      <w:sz w:val="32"/>
      <w:szCs w:val="32"/>
    </w:rPr>
  </w:style>
  <w:style w:type="character" w:customStyle="1" w:styleId="62">
    <w:name w:val="标题 4 字符"/>
    <w:link w:val="5"/>
    <w:qFormat/>
    <w:uiPriority w:val="0"/>
    <w:rPr>
      <w:rFonts w:ascii="Arial" w:hAnsi="Arial" w:eastAsia="黑体"/>
      <w:b/>
      <w:bCs/>
      <w:kern w:val="2"/>
      <w:sz w:val="28"/>
      <w:szCs w:val="28"/>
    </w:rPr>
  </w:style>
  <w:style w:type="character" w:customStyle="1" w:styleId="63">
    <w:name w:val="标题 5 Char Char"/>
    <w:basedOn w:val="44"/>
    <w:link w:val="6"/>
    <w:qFormat/>
    <w:uiPriority w:val="0"/>
    <w:rPr>
      <w:b/>
      <w:bCs/>
      <w:kern w:val="2"/>
      <w:sz w:val="28"/>
      <w:szCs w:val="28"/>
    </w:rPr>
  </w:style>
  <w:style w:type="character" w:customStyle="1" w:styleId="64">
    <w:name w:val="标题 6 Char Char"/>
    <w:basedOn w:val="44"/>
    <w:link w:val="7"/>
    <w:qFormat/>
    <w:uiPriority w:val="0"/>
    <w:rPr>
      <w:rFonts w:ascii="Cambria" w:hAnsi="Cambria" w:eastAsia="宋体" w:cs="Times New Roman"/>
      <w:b/>
      <w:bCs/>
      <w:kern w:val="2"/>
      <w:sz w:val="24"/>
      <w:szCs w:val="24"/>
    </w:rPr>
  </w:style>
  <w:style w:type="character" w:customStyle="1" w:styleId="65">
    <w:name w:val="标题 7 字符"/>
    <w:link w:val="8"/>
    <w:qFormat/>
    <w:uiPriority w:val="0"/>
    <w:rPr>
      <w:rFonts w:ascii="Calibri" w:hAnsi="Calibri"/>
      <w:b/>
      <w:bCs/>
      <w:kern w:val="2"/>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Char Char"/>
    <w:basedOn w:val="44"/>
    <w:link w:val="10"/>
    <w:qFormat/>
    <w:uiPriority w:val="0"/>
    <w:rPr>
      <w:rFonts w:ascii="Cambria" w:hAnsi="Cambria" w:eastAsia="宋体" w:cs="Times New Roman"/>
      <w:kern w:val="2"/>
      <w:sz w:val="21"/>
      <w:szCs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Char Char Char"/>
    <w:basedOn w:val="44"/>
    <w:link w:val="15"/>
    <w:qFormat/>
    <w:uiPriority w:val="0"/>
    <w:rPr>
      <w:kern w:val="2"/>
      <w:sz w:val="21"/>
      <w:szCs w:val="24"/>
    </w:rPr>
  </w:style>
  <w:style w:type="character" w:customStyle="1" w:styleId="70">
    <w:name w:val="正文文本 3 Char Char"/>
    <w:link w:val="16"/>
    <w:qFormat/>
    <w:uiPriority w:val="0"/>
    <w:rPr>
      <w:rFonts w:eastAsia="宋体"/>
      <w:kern w:val="2"/>
      <w:sz w:val="16"/>
      <w:szCs w:val="16"/>
      <w:lang w:val="en-US" w:eastAsia="zh-CN" w:bidi="ar-SA"/>
    </w:rPr>
  </w:style>
  <w:style w:type="character" w:customStyle="1" w:styleId="71">
    <w:name w:val="正文文本 字符2"/>
    <w:link w:val="18"/>
    <w:qFormat/>
    <w:uiPriority w:val="0"/>
    <w:rPr>
      <w:kern w:val="2"/>
      <w:sz w:val="21"/>
      <w:szCs w:val="24"/>
    </w:rPr>
  </w:style>
  <w:style w:type="character" w:customStyle="1" w:styleId="72">
    <w:name w:val="正文文本缩进 Char Char"/>
    <w:basedOn w:val="44"/>
    <w:link w:val="19"/>
    <w:qFormat/>
    <w:uiPriority w:val="0"/>
    <w:rPr>
      <w:kern w:val="2"/>
      <w:sz w:val="21"/>
      <w:szCs w:val="24"/>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character" w:customStyle="1" w:styleId="74">
    <w:name w:val="日期 字符2"/>
    <w:link w:val="25"/>
    <w:qFormat/>
    <w:uiPriority w:val="0"/>
    <w:rPr>
      <w:kern w:val="2"/>
      <w:sz w:val="21"/>
      <w:szCs w:val="24"/>
    </w:rPr>
  </w:style>
  <w:style w:type="character" w:customStyle="1" w:styleId="75">
    <w:name w:val="正文文本缩进 2 字符"/>
    <w:link w:val="26"/>
    <w:qFormat/>
    <w:uiPriority w:val="0"/>
    <w:rPr>
      <w:kern w:val="2"/>
      <w:sz w:val="21"/>
      <w:szCs w:val="24"/>
    </w:rPr>
  </w:style>
  <w:style w:type="character" w:customStyle="1" w:styleId="76">
    <w:name w:val="批注框文本 字符2"/>
    <w:link w:val="27"/>
    <w:qFormat/>
    <w:uiPriority w:val="0"/>
    <w:rPr>
      <w:kern w:val="2"/>
      <w:sz w:val="18"/>
      <w:szCs w:val="18"/>
    </w:rPr>
  </w:style>
  <w:style w:type="character" w:customStyle="1" w:styleId="77">
    <w:name w:val="页脚 字符2"/>
    <w:link w:val="28"/>
    <w:qFormat/>
    <w:uiPriority w:val="0"/>
    <w:rPr>
      <w:kern w:val="2"/>
      <w:sz w:val="18"/>
      <w:szCs w:val="18"/>
    </w:rPr>
  </w:style>
  <w:style w:type="character" w:customStyle="1" w:styleId="78">
    <w:name w:val="页眉 Char Char"/>
    <w:basedOn w:val="44"/>
    <w:link w:val="29"/>
    <w:qFormat/>
    <w:uiPriority w:val="0"/>
    <w:rPr>
      <w:kern w:val="2"/>
      <w:sz w:val="18"/>
      <w:szCs w:val="18"/>
    </w:rPr>
  </w:style>
  <w:style w:type="character" w:customStyle="1" w:styleId="79">
    <w:name w:val="副标题 字符2"/>
    <w:link w:val="34"/>
    <w:qFormat/>
    <w:uiPriority w:val="0"/>
    <w:rPr>
      <w:rFonts w:ascii="Cambria" w:hAnsi="Cambria"/>
      <w:b/>
      <w:bCs/>
      <w:kern w:val="28"/>
      <w:sz w:val="32"/>
      <w:szCs w:val="32"/>
    </w:rPr>
  </w:style>
  <w:style w:type="character" w:customStyle="1" w:styleId="80">
    <w:name w:val="正文文本缩进 3 字符"/>
    <w:link w:val="36"/>
    <w:qFormat/>
    <w:uiPriority w:val="0"/>
    <w:rPr>
      <w:kern w:val="2"/>
      <w:sz w:val="16"/>
      <w:szCs w:val="16"/>
    </w:rPr>
  </w:style>
  <w:style w:type="character" w:customStyle="1" w:styleId="81">
    <w:name w:val="标题 字符"/>
    <w:link w:val="40"/>
    <w:qFormat/>
    <w:uiPriority w:val="0"/>
    <w:rPr>
      <w:rFonts w:ascii="Cambria" w:hAnsi="Cambria"/>
      <w:b/>
      <w:bCs/>
      <w:kern w:val="2"/>
      <w:sz w:val="32"/>
      <w:szCs w:val="32"/>
    </w:rPr>
  </w:style>
  <w:style w:type="character" w:customStyle="1" w:styleId="82">
    <w:name w:val="批注主题 字符2"/>
    <w:link w:val="41"/>
    <w:qFormat/>
    <w:uiPriority w:val="0"/>
    <w:rPr>
      <w:b/>
      <w:bCs/>
      <w:kern w:val="2"/>
      <w:sz w:val="21"/>
      <w:szCs w:val="24"/>
    </w:rPr>
  </w:style>
  <w:style w:type="character" w:customStyle="1" w:styleId="83">
    <w:name w:val="标题 5 字符"/>
    <w:link w:val="6"/>
    <w:qFormat/>
    <w:uiPriority w:val="0"/>
    <w:rPr>
      <w:rFonts w:ascii="Calibri" w:hAnsi="Calibri"/>
      <w:b/>
      <w:bCs/>
      <w:kern w:val="2"/>
      <w:sz w:val="28"/>
      <w:szCs w:val="28"/>
    </w:rPr>
  </w:style>
  <w:style w:type="character" w:customStyle="1" w:styleId="84">
    <w:name w:val="标题 6 字符"/>
    <w:link w:val="7"/>
    <w:qFormat/>
    <w:uiPriority w:val="0"/>
    <w:rPr>
      <w:rFonts w:ascii="Cambria" w:hAnsi="Cambria"/>
      <w:b/>
      <w:bCs/>
      <w:kern w:val="2"/>
      <w:sz w:val="24"/>
      <w:szCs w:val="24"/>
    </w:rPr>
  </w:style>
  <w:style w:type="character" w:customStyle="1" w:styleId="85">
    <w:name w:val="标题 7 Char Char"/>
    <w:basedOn w:val="44"/>
    <w:link w:val="8"/>
    <w:qFormat/>
    <w:uiPriority w:val="0"/>
    <w:rPr>
      <w:b/>
      <w:bCs/>
      <w:kern w:val="2"/>
      <w:sz w:val="24"/>
      <w:szCs w:val="24"/>
    </w:rPr>
  </w:style>
  <w:style w:type="character" w:customStyle="1" w:styleId="86">
    <w:name w:val="标题 8 Char Char"/>
    <w:basedOn w:val="44"/>
    <w:link w:val="9"/>
    <w:qFormat/>
    <w:uiPriority w:val="0"/>
    <w:rPr>
      <w:rFonts w:ascii="Cambria" w:hAnsi="Cambria" w:eastAsia="宋体" w:cs="Times New Roman"/>
      <w:kern w:val="2"/>
      <w:sz w:val="24"/>
      <w:szCs w:val="24"/>
    </w:rPr>
  </w:style>
  <w:style w:type="character" w:customStyle="1" w:styleId="87">
    <w:name w:val="标题 9 字符"/>
    <w:link w:val="10"/>
    <w:qFormat/>
    <w:uiPriority w:val="0"/>
    <w:rPr>
      <w:rFonts w:ascii="Cambria" w:hAnsi="Cambria"/>
      <w:kern w:val="2"/>
      <w:sz w:val="21"/>
      <w:szCs w:val="21"/>
    </w:rPr>
  </w:style>
  <w:style w:type="character" w:customStyle="1" w:styleId="88">
    <w:name w:val="批注主题 Char Char"/>
    <w:basedOn w:val="69"/>
    <w:qFormat/>
    <w:uiPriority w:val="0"/>
    <w:rPr>
      <w:b/>
      <w:bCs/>
    </w:rPr>
  </w:style>
  <w:style w:type="character" w:customStyle="1" w:styleId="89">
    <w:name w:val="日期 字符"/>
    <w:qFormat/>
    <w:uiPriority w:val="0"/>
    <w:rPr>
      <w:rFonts w:ascii="宋体" w:hAnsi="Times New Roman"/>
      <w:sz w:val="28"/>
    </w:rPr>
  </w:style>
  <w:style w:type="character" w:customStyle="1" w:styleId="90">
    <w:name w:val="批注主题 字符1"/>
    <w:qFormat/>
    <w:uiPriority w:val="0"/>
    <w:rPr>
      <w:b/>
      <w:bCs/>
      <w:kern w:val="2"/>
      <w:sz w:val="21"/>
      <w:szCs w:val="22"/>
    </w:rPr>
  </w:style>
  <w:style w:type="character" w:customStyle="1" w:styleId="91">
    <w:name w:val="副标题 Char Char"/>
    <w:basedOn w:val="44"/>
    <w:qFormat/>
    <w:uiPriority w:val="0"/>
    <w:rPr>
      <w:rFonts w:ascii="Cambria" w:hAnsi="Cambria" w:cs="Times New Roman"/>
      <w:b/>
      <w:bCs/>
      <w:kern w:val="28"/>
      <w:sz w:val="32"/>
      <w:szCs w:val="32"/>
    </w:rPr>
  </w:style>
  <w:style w:type="character" w:customStyle="1" w:styleId="92">
    <w:name w:val="文档结构图 Char1"/>
    <w:qFormat/>
    <w:uiPriority w:val="0"/>
    <w:rPr>
      <w:rFonts w:ascii="宋体"/>
      <w:kern w:val="2"/>
      <w:sz w:val="18"/>
      <w:szCs w:val="18"/>
    </w:rPr>
  </w:style>
  <w:style w:type="character" w:customStyle="1" w:styleId="93">
    <w:name w:val="批注主题 Char1"/>
    <w:qFormat/>
    <w:uiPriority w:val="0"/>
    <w:rPr>
      <w:b/>
      <w:bCs/>
      <w:kern w:val="2"/>
      <w:sz w:val="21"/>
      <w:szCs w:val="22"/>
    </w:rPr>
  </w:style>
  <w:style w:type="character" w:customStyle="1" w:styleId="94">
    <w:name w:val="页眉 字符"/>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 Char Char1_0"/>
    <w:link w:val="97"/>
    <w:qFormat/>
    <w:uiPriority w:val="0"/>
    <w:rPr>
      <w:kern w:val="2"/>
      <w:sz w:val="21"/>
      <w:szCs w:val="24"/>
    </w:rPr>
  </w:style>
  <w:style w:type="paragraph" w:customStyle="1" w:styleId="97">
    <w:name w:val="日期_0_0"/>
    <w:basedOn w:val="98"/>
    <w:next w:val="98"/>
    <w:link w:val="96"/>
    <w:qFormat/>
    <w:uiPriority w:val="0"/>
    <w:pPr>
      <w:ind w:left="100" w:leftChars="2500"/>
    </w:pPr>
    <w:rPr>
      <w:kern w:val="2"/>
      <w:sz w:val="21"/>
      <w:szCs w:val="24"/>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_3"/>
    <w:link w:val="100"/>
    <w:qFormat/>
    <w:uiPriority w:val="0"/>
    <w:rPr>
      <w:b/>
      <w:kern w:val="44"/>
      <w:sz w:val="44"/>
    </w:rPr>
  </w:style>
  <w:style w:type="paragraph" w:customStyle="1" w:styleId="100">
    <w:name w:val="标题 1_4"/>
    <w:basedOn w:val="101"/>
    <w:next w:val="101"/>
    <w:link w:val="99"/>
    <w:qFormat/>
    <w:uiPriority w:val="0"/>
    <w:pPr>
      <w:keepNext/>
      <w:keepLines/>
      <w:spacing w:before="340" w:beforeLines="0" w:after="330" w:afterLines="0" w:line="576" w:lineRule="auto"/>
      <w:outlineLvl w:val="0"/>
    </w:pPr>
    <w:rPr>
      <w:b/>
      <w:kern w:val="44"/>
      <w:sz w:val="44"/>
    </w:rPr>
  </w:style>
  <w:style w:type="paragraph" w:customStyle="1" w:styleId="101">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标题 字符1"/>
    <w:qFormat/>
    <w:uiPriority w:val="0"/>
    <w:rPr>
      <w:rFonts w:ascii="等线 Light" w:hAnsi="等线 Light" w:eastAsia="等线 Light" w:cs="Times New Roman"/>
      <w:b/>
      <w:bCs/>
      <w:kern w:val="2"/>
      <w:sz w:val="32"/>
      <w:szCs w:val="32"/>
    </w:rPr>
  </w:style>
  <w:style w:type="character" w:customStyle="1" w:styleId="103">
    <w:name w:val="页脚 字符"/>
    <w:qFormat/>
    <w:uiPriority w:val="0"/>
    <w:rPr>
      <w:kern w:val="2"/>
      <w:sz w:val="18"/>
      <w:szCs w:val="18"/>
    </w:rPr>
  </w:style>
  <w:style w:type="character" w:customStyle="1" w:styleId="104">
    <w:name w:val="无间隔 字符"/>
    <w:link w:val="105"/>
    <w:qFormat/>
    <w:uiPriority w:val="0"/>
    <w:rPr>
      <w:rFonts w:ascii="Calibri" w:hAnsi="Calibri"/>
      <w:kern w:val="2"/>
      <w:sz w:val="22"/>
      <w:lang w:val="en-US" w:eastAsia="zh-CN" w:bidi="ar-SA"/>
    </w:rPr>
  </w:style>
  <w:style w:type="paragraph" w:styleId="105">
    <w:name w:val="No Spacing"/>
    <w:link w:val="104"/>
    <w:qFormat/>
    <w:uiPriority w:val="0"/>
    <w:rPr>
      <w:rFonts w:ascii="Calibri" w:hAnsi="Calibri" w:eastAsia="宋体" w:cs="Times New Roman"/>
      <w:kern w:val="2"/>
      <w:sz w:val="22"/>
      <w:lang w:val="en-US" w:eastAsia="zh-CN" w:bidi="ar-SA"/>
    </w:rPr>
  </w:style>
  <w:style w:type="character" w:customStyle="1" w:styleId="106">
    <w:name w:val="批注文字 字符"/>
    <w:qFormat/>
    <w:uiPriority w:val="0"/>
    <w:rPr>
      <w:kern w:val="2"/>
      <w:sz w:val="21"/>
      <w:szCs w:val="22"/>
    </w:rPr>
  </w:style>
  <w:style w:type="character" w:customStyle="1" w:styleId="107">
    <w:name w:val="_Style 106"/>
    <w:qFormat/>
    <w:uiPriority w:val="0"/>
    <w:rPr>
      <w:b/>
      <w:bCs/>
      <w:i/>
      <w:iCs/>
      <w:color w:val="4F81BD"/>
    </w:rPr>
  </w:style>
  <w:style w:type="character" w:customStyle="1" w:styleId="108">
    <w:name w:val="日期 字符1"/>
    <w:qFormat/>
    <w:uiPriority w:val="0"/>
    <w:rPr>
      <w:kern w:val="2"/>
      <w:sz w:val="21"/>
      <w:szCs w:val="22"/>
    </w:rPr>
  </w:style>
  <w:style w:type="character" w:customStyle="1" w:styleId="109">
    <w:name w:val="日期 Char1"/>
    <w:qFormat/>
    <w:uiPriority w:val="0"/>
    <w:rPr>
      <w:kern w:val="2"/>
      <w:sz w:val="21"/>
      <w:szCs w:val="22"/>
    </w:rPr>
  </w:style>
  <w:style w:type="character" w:customStyle="1" w:styleId="110">
    <w:name w:val="textcontents"/>
    <w:qFormat/>
    <w:uiPriority w:val="0"/>
    <w:rPr>
      <w:rFonts w:cs="Times New Roman"/>
    </w:rPr>
  </w:style>
  <w:style w:type="character" w:customStyle="1" w:styleId="111">
    <w:name w:val="标题 2 字符"/>
    <w:qFormat/>
    <w:uiPriority w:val="0"/>
    <w:rPr>
      <w:rFonts w:ascii="Cambria" w:hAnsi="Cambria" w:eastAsia="宋体" w:cs="Times New Roman"/>
      <w:b/>
      <w:bCs/>
      <w:kern w:val="2"/>
      <w:sz w:val="32"/>
      <w:szCs w:val="32"/>
    </w:rPr>
  </w:style>
  <w:style w:type="character" w:customStyle="1" w:styleId="112">
    <w:name w:val="标题 3 字符1"/>
    <w:qFormat/>
    <w:uiPriority w:val="0"/>
    <w:rPr>
      <w:b/>
      <w:bCs/>
      <w:kern w:val="2"/>
      <w:sz w:val="32"/>
      <w:szCs w:val="32"/>
    </w:rPr>
  </w:style>
  <w:style w:type="character" w:customStyle="1" w:styleId="113">
    <w:name w:val="日期 Char_0"/>
    <w:link w:val="114"/>
    <w:qFormat/>
    <w:uiPriority w:val="0"/>
    <w:rPr>
      <w:kern w:val="2"/>
      <w:sz w:val="21"/>
    </w:rPr>
  </w:style>
  <w:style w:type="paragraph" w:customStyle="1" w:styleId="114">
    <w:name w:val="日期_1"/>
    <w:basedOn w:val="115"/>
    <w:next w:val="115"/>
    <w:link w:val="113"/>
    <w:qFormat/>
    <w:uiPriority w:val="0"/>
    <w:pPr>
      <w:ind w:left="100" w:leftChars="2500"/>
    </w:pPr>
    <w:rPr>
      <w:kern w:val="2"/>
      <w:sz w:val="21"/>
    </w:rPr>
  </w:style>
  <w:style w:type="paragraph" w:customStyle="1" w:styleId="1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6">
    <w:name w:val="标题 1 Char_1"/>
    <w:link w:val="117"/>
    <w:qFormat/>
    <w:uiPriority w:val="0"/>
    <w:rPr>
      <w:b/>
      <w:kern w:val="44"/>
      <w:sz w:val="44"/>
    </w:rPr>
  </w:style>
  <w:style w:type="paragraph" w:customStyle="1" w:styleId="117">
    <w:name w:val="标题 1_2"/>
    <w:basedOn w:val="118"/>
    <w:next w:val="118"/>
    <w:link w:val="116"/>
    <w:qFormat/>
    <w:uiPriority w:val="0"/>
    <w:pPr>
      <w:keepNext/>
      <w:keepLines/>
      <w:spacing w:before="340" w:beforeLines="0" w:after="330" w:afterLines="0" w:line="576" w:lineRule="auto"/>
      <w:outlineLvl w:val="0"/>
    </w:pPr>
    <w:rPr>
      <w:b/>
      <w:kern w:val="44"/>
      <w:sz w:val="44"/>
    </w:rPr>
  </w:style>
  <w:style w:type="paragraph" w:customStyle="1" w:styleId="118">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引用 字符1"/>
    <w:qFormat/>
    <w:uiPriority w:val="0"/>
    <w:rPr>
      <w:i/>
      <w:iCs/>
      <w:color w:val="404040"/>
      <w:kern w:val="2"/>
      <w:sz w:val="21"/>
      <w:szCs w:val="22"/>
    </w:rPr>
  </w:style>
  <w:style w:type="character" w:customStyle="1" w:styleId="121">
    <w:name w:val="明显引用 字符"/>
    <w:qFormat/>
    <w:uiPriority w:val="0"/>
    <w:rPr>
      <w:b/>
      <w:bCs/>
      <w:i/>
      <w:iCs/>
      <w:color w:val="4F81BD"/>
      <w:kern w:val="2"/>
      <w:sz w:val="21"/>
      <w:szCs w:val="22"/>
    </w:rPr>
  </w:style>
  <w:style w:type="character" w:customStyle="1" w:styleId="122">
    <w:name w:val="正文文本缩进 字符"/>
    <w:qFormat/>
    <w:uiPriority w:val="0"/>
    <w:rPr>
      <w:b/>
      <w:kern w:val="2"/>
      <w:sz w:val="21"/>
      <w:szCs w:val="24"/>
    </w:rPr>
  </w:style>
  <w:style w:type="character" w:customStyle="1" w:styleId="123">
    <w:name w:val="标题 3 Char_0"/>
    <w:link w:val="124"/>
    <w:qFormat/>
    <w:uiPriority w:val="0"/>
    <w:rPr>
      <w:b/>
      <w:kern w:val="2"/>
      <w:sz w:val="32"/>
    </w:rPr>
  </w:style>
  <w:style w:type="paragraph" w:customStyle="1" w:styleId="124">
    <w:name w:val="标题 3_0"/>
    <w:basedOn w:val="118"/>
    <w:next w:val="118"/>
    <w:link w:val="123"/>
    <w:qFormat/>
    <w:uiPriority w:val="0"/>
    <w:pPr>
      <w:keepNext/>
      <w:keepLines/>
      <w:spacing w:before="260" w:beforeLines="0" w:after="260" w:afterLines="0" w:line="413" w:lineRule="auto"/>
      <w:outlineLvl w:val="2"/>
    </w:pPr>
    <w:rPr>
      <w:b/>
      <w:kern w:val="2"/>
      <w:sz w:val="32"/>
    </w:rPr>
  </w:style>
  <w:style w:type="character" w:customStyle="1" w:styleId="125">
    <w:name w:val="标题 3 字符"/>
    <w:qFormat/>
    <w:uiPriority w:val="0"/>
    <w:rPr>
      <w:b/>
      <w:bCs/>
      <w:kern w:val="2"/>
      <w:sz w:val="32"/>
      <w:szCs w:val="32"/>
    </w:rPr>
  </w:style>
  <w:style w:type="character" w:customStyle="1" w:styleId="126">
    <w:name w:val="批注主题 字符"/>
    <w:qFormat/>
    <w:uiPriority w:val="0"/>
    <w:rPr>
      <w:rFonts w:ascii="宋体" w:hAnsi="Times New Roman"/>
      <w:b/>
      <w:bCs/>
      <w:sz w:val="28"/>
    </w:rPr>
  </w:style>
  <w:style w:type="character" w:customStyle="1" w:styleId="127">
    <w:name w:val=" Char Char Char"/>
    <w:link w:val="128"/>
    <w:qFormat/>
    <w:uiPriority w:val="0"/>
    <w:rPr>
      <w:b/>
      <w:kern w:val="2"/>
      <w:sz w:val="21"/>
      <w:szCs w:val="24"/>
    </w:rPr>
  </w:style>
  <w:style w:type="paragraph" w:customStyle="1" w:styleId="128">
    <w:name w:val="正文文本缩进_0"/>
    <w:basedOn w:val="129"/>
    <w:link w:val="127"/>
    <w:qFormat/>
    <w:uiPriority w:val="0"/>
    <w:pPr>
      <w:ind w:firstLine="210"/>
    </w:pPr>
    <w:rPr>
      <w:b/>
      <w:kern w:val="2"/>
      <w:sz w:val="21"/>
      <w:szCs w:val="24"/>
    </w:rPr>
  </w:style>
  <w:style w:type="paragraph" w:customStyle="1" w:styleId="1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明显引用 Char Char"/>
    <w:basedOn w:val="44"/>
    <w:qFormat/>
    <w:uiPriority w:val="0"/>
    <w:rPr>
      <w:b/>
      <w:bCs/>
      <w:i/>
      <w:iCs/>
      <w:color w:val="4F81BD"/>
      <w:kern w:val="2"/>
      <w:sz w:val="21"/>
      <w:szCs w:val="24"/>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_Style 131"/>
    <w:qFormat/>
    <w:uiPriority w:val="0"/>
    <w:rPr>
      <w:i/>
      <w:iCs/>
      <w:color w:val="808080"/>
    </w:rPr>
  </w:style>
  <w:style w:type="character" w:customStyle="1" w:styleId="133">
    <w:name w:val=" Char Char4"/>
    <w:link w:val="134"/>
    <w:qFormat/>
    <w:uiPriority w:val="0"/>
    <w:rPr>
      <w:b/>
      <w:kern w:val="44"/>
      <w:sz w:val="44"/>
    </w:rPr>
  </w:style>
  <w:style w:type="paragraph" w:customStyle="1" w:styleId="134">
    <w:name w:val="标题 1_0"/>
    <w:basedOn w:val="129"/>
    <w:next w:val="129"/>
    <w:link w:val="133"/>
    <w:qFormat/>
    <w:uiPriority w:val="0"/>
    <w:pPr>
      <w:keepNext/>
      <w:keepLines/>
      <w:spacing w:before="340" w:beforeLines="0" w:after="330" w:afterLines="0" w:line="576" w:lineRule="auto"/>
      <w:outlineLvl w:val="0"/>
    </w:pPr>
    <w:rPr>
      <w:b/>
      <w:kern w:val="44"/>
      <w:sz w:val="44"/>
    </w:rPr>
  </w:style>
  <w:style w:type="character" w:customStyle="1" w:styleId="135">
    <w:name w:val="正文文本 Char Char"/>
    <w:basedOn w:val="44"/>
    <w:qFormat/>
    <w:uiPriority w:val="0"/>
    <w:rPr>
      <w:kern w:val="2"/>
      <w:sz w:val="21"/>
      <w:szCs w:val="24"/>
    </w:rPr>
  </w:style>
  <w:style w:type="character" w:customStyle="1" w:styleId="136">
    <w:name w:val="明显引用 字符1"/>
    <w:qFormat/>
    <w:uiPriority w:val="0"/>
    <w:rPr>
      <w:i/>
      <w:iCs/>
      <w:color w:val="5B9BD5"/>
      <w:kern w:val="2"/>
      <w:sz w:val="21"/>
      <w:szCs w:val="22"/>
    </w:rPr>
  </w:style>
  <w:style w:type="character" w:customStyle="1" w:styleId="137">
    <w:name w:val="引用 Char Char"/>
    <w:basedOn w:val="44"/>
    <w:qFormat/>
    <w:uiPriority w:val="0"/>
    <w:rPr>
      <w:i/>
      <w:iCs/>
      <w:color w:val="000000"/>
      <w:kern w:val="2"/>
      <w:sz w:val="21"/>
      <w:szCs w:val="24"/>
    </w:rPr>
  </w:style>
  <w:style w:type="character" w:customStyle="1" w:styleId="138">
    <w:name w:val="标题 1 字符"/>
    <w:qFormat/>
    <w:uiPriority w:val="0"/>
    <w:rPr>
      <w:b/>
      <w:bCs/>
      <w:kern w:val="44"/>
      <w:sz w:val="44"/>
      <w:szCs w:val="44"/>
    </w:rPr>
  </w:style>
  <w:style w:type="character" w:customStyle="1" w:styleId="139">
    <w:name w:val="Char Char14"/>
    <w:qFormat/>
    <w:uiPriority w:val="0"/>
    <w:rPr>
      <w:rFonts w:ascii="宋体" w:hAnsi="Courier New" w:eastAsia="宋体"/>
      <w:kern w:val="2"/>
      <w:sz w:val="21"/>
      <w:szCs w:val="21"/>
      <w:lang w:bidi="ar-SA"/>
    </w:rPr>
  </w:style>
  <w:style w:type="character" w:customStyle="1" w:styleId="140">
    <w:name w:val="apple-converted-space"/>
    <w:basedOn w:val="44"/>
    <w:qFormat/>
    <w:uiPriority w:val="0"/>
  </w:style>
  <w:style w:type="character" w:customStyle="1" w:styleId="141">
    <w:name w:val="明显引用 字符2"/>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3">
    <w:name w:val="正文文本缩进 3 Char Char"/>
    <w:basedOn w:val="44"/>
    <w:qFormat/>
    <w:uiPriority w:val="0"/>
    <w:rPr>
      <w:kern w:val="2"/>
      <w:sz w:val="16"/>
      <w:szCs w:val="16"/>
    </w:rPr>
  </w:style>
  <w:style w:type="character" w:customStyle="1" w:styleId="144">
    <w:name w:val=" Char Char18"/>
    <w:qFormat/>
    <w:uiPriority w:val="0"/>
    <w:rPr>
      <w:b/>
      <w:bCs/>
      <w:kern w:val="44"/>
      <w:sz w:val="44"/>
      <w:szCs w:val="44"/>
    </w:rPr>
  </w:style>
  <w:style w:type="character" w:customStyle="1" w:styleId="145">
    <w:name w:val="_Style 144"/>
    <w:qFormat/>
    <w:uiPriority w:val="0"/>
    <w:rPr>
      <w:b/>
      <w:bCs/>
      <w:smallCaps/>
      <w:color w:val="C0504D"/>
      <w:spacing w:val="5"/>
      <w:u w:val="single"/>
    </w:rPr>
  </w:style>
  <w:style w:type="character" w:customStyle="1" w:styleId="146">
    <w:name w:val="批注文字 字符2"/>
    <w:qFormat/>
    <w:uiPriority w:val="0"/>
    <w:rPr>
      <w:kern w:val="2"/>
      <w:sz w:val="21"/>
      <w:szCs w:val="24"/>
    </w:rPr>
  </w:style>
  <w:style w:type="character" w:customStyle="1" w:styleId="147">
    <w:name w:val="页脚 字符1"/>
    <w:qFormat/>
    <w:uiPriority w:val="0"/>
    <w:rPr>
      <w:kern w:val="2"/>
      <w:sz w:val="18"/>
      <w:szCs w:val="18"/>
    </w:rPr>
  </w:style>
  <w:style w:type="character" w:customStyle="1" w:styleId="148">
    <w:name w:val="标题 1 Char_2"/>
    <w:link w:val="149"/>
    <w:qFormat/>
    <w:uiPriority w:val="0"/>
    <w:rPr>
      <w:b/>
      <w:kern w:val="44"/>
      <w:sz w:val="44"/>
    </w:rPr>
  </w:style>
  <w:style w:type="paragraph" w:customStyle="1" w:styleId="149">
    <w:name w:val="标题 1_3"/>
    <w:basedOn w:val="115"/>
    <w:next w:val="115"/>
    <w:link w:val="148"/>
    <w:qFormat/>
    <w:uiPriority w:val="0"/>
    <w:pPr>
      <w:keepNext/>
      <w:keepLines/>
      <w:spacing w:before="340" w:beforeLines="0" w:after="330" w:afterLines="0" w:line="576" w:lineRule="auto"/>
      <w:outlineLvl w:val="0"/>
    </w:pPr>
    <w:rPr>
      <w:b/>
      <w:kern w:val="44"/>
      <w:sz w:val="44"/>
    </w:rPr>
  </w:style>
  <w:style w:type="character" w:customStyle="1" w:styleId="150">
    <w:name w:val="正文文本 字符1"/>
    <w:qFormat/>
    <w:uiPriority w:val="0"/>
    <w:rPr>
      <w:kern w:val="2"/>
      <w:sz w:val="21"/>
      <w:szCs w:val="22"/>
    </w:rPr>
  </w:style>
  <w:style w:type="character" w:customStyle="1" w:styleId="151">
    <w:name w:val="批注框文本 字符1"/>
    <w:qFormat/>
    <w:uiPriority w:val="0"/>
    <w:rPr>
      <w:kern w:val="2"/>
      <w:sz w:val="18"/>
      <w:szCs w:val="18"/>
    </w:rPr>
  </w:style>
  <w:style w:type="character" w:customStyle="1" w:styleId="152">
    <w:name w:val="标题4 Char Char"/>
    <w:link w:val="153"/>
    <w:qFormat/>
    <w:uiPriority w:val="0"/>
    <w:rPr>
      <w:rFonts w:ascii="Arial" w:hAnsi="Arial"/>
      <w:b/>
      <w:bCs/>
      <w:sz w:val="24"/>
      <w:szCs w:val="32"/>
    </w:rPr>
  </w:style>
  <w:style w:type="paragraph" w:customStyle="1" w:styleId="153">
    <w:name w:val="标题4"/>
    <w:basedOn w:val="2"/>
    <w:next w:val="20"/>
    <w:link w:val="152"/>
    <w:qFormat/>
    <w:uiPriority w:val="0"/>
    <w:pPr>
      <w:spacing w:line="413" w:lineRule="auto"/>
    </w:pPr>
    <w:rPr>
      <w:rFonts w:ascii="Arial" w:hAnsi="Arial"/>
      <w:sz w:val="24"/>
      <w:szCs w:val="32"/>
    </w:rPr>
  </w:style>
  <w:style w:type="character" w:customStyle="1" w:styleId="154">
    <w:name w:val=" Char Char1"/>
    <w:link w:val="155"/>
    <w:qFormat/>
    <w:uiPriority w:val="0"/>
    <w:rPr>
      <w:kern w:val="2"/>
      <w:sz w:val="21"/>
      <w:szCs w:val="24"/>
    </w:rPr>
  </w:style>
  <w:style w:type="paragraph" w:customStyle="1" w:styleId="155">
    <w:name w:val="日期_0"/>
    <w:basedOn w:val="129"/>
    <w:next w:val="129"/>
    <w:link w:val="154"/>
    <w:qFormat/>
    <w:uiPriority w:val="0"/>
    <w:pPr>
      <w:ind w:left="100" w:leftChars="2500"/>
    </w:pPr>
    <w:rPr>
      <w:kern w:val="2"/>
      <w:sz w:val="21"/>
      <w:szCs w:val="24"/>
    </w:rPr>
  </w:style>
  <w:style w:type="character" w:customStyle="1" w:styleId="156">
    <w:name w:val="标题 Char Char"/>
    <w:basedOn w:val="44"/>
    <w:qFormat/>
    <w:uiPriority w:val="0"/>
    <w:rPr>
      <w:rFonts w:ascii="Cambria" w:hAnsi="Cambria" w:cs="Times New Roman"/>
      <w:b/>
      <w:bCs/>
      <w:kern w:val="2"/>
      <w:sz w:val="32"/>
      <w:szCs w:val="32"/>
    </w:rPr>
  </w:style>
  <w:style w:type="character" w:customStyle="1" w:styleId="157">
    <w:name w:val="引用 字符"/>
    <w:qFormat/>
    <w:uiPriority w:val="0"/>
    <w:rPr>
      <w:i/>
      <w:iCs/>
      <w:color w:val="000000"/>
      <w:kern w:val="2"/>
      <w:sz w:val="21"/>
      <w:szCs w:val="22"/>
    </w:rPr>
  </w:style>
  <w:style w:type="character" w:customStyle="1" w:styleId="158">
    <w:name w:val="_Style 157"/>
    <w:qFormat/>
    <w:uiPriority w:val="0"/>
    <w:rPr>
      <w:b/>
      <w:bCs/>
      <w:smallCaps/>
      <w:spacing w:val="5"/>
    </w:rPr>
  </w:style>
  <w:style w:type="character" w:customStyle="1" w:styleId="159">
    <w:name w:val="正文文本缩进 2 Char Char"/>
    <w:basedOn w:val="44"/>
    <w:qFormat/>
    <w:uiPriority w:val="0"/>
    <w:rPr>
      <w:kern w:val="2"/>
      <w:sz w:val="21"/>
      <w:szCs w:val="24"/>
    </w:rPr>
  </w:style>
  <w:style w:type="character" w:customStyle="1" w:styleId="160">
    <w:name w:val="页眉 字符2"/>
    <w:qFormat/>
    <w:uiPriority w:val="0"/>
    <w:rPr>
      <w:kern w:val="2"/>
      <w:sz w:val="18"/>
      <w:szCs w:val="18"/>
    </w:rPr>
  </w:style>
  <w:style w:type="character" w:customStyle="1" w:styleId="161">
    <w:name w:val="_Style 160"/>
    <w:qFormat/>
    <w:uiPriority w:val="0"/>
    <w:rPr>
      <w:smallCaps/>
      <w:color w:val="C0504D"/>
      <w:u w:val="single"/>
    </w:rPr>
  </w:style>
  <w:style w:type="character" w:customStyle="1" w:styleId="162">
    <w:name w:val="副标题 字符1"/>
    <w:qFormat/>
    <w:uiPriority w:val="0"/>
    <w:rPr>
      <w:rFonts w:ascii="等线" w:hAnsi="等线" w:eastAsia="等线" w:cs="Times New Roman"/>
      <w:b/>
      <w:bCs/>
      <w:kern w:val="28"/>
      <w:sz w:val="32"/>
      <w:szCs w:val="32"/>
    </w:rPr>
  </w:style>
  <w:style w:type="character" w:customStyle="1" w:styleId="163">
    <w:name w:val="文档结构图 Char Char"/>
    <w:basedOn w:val="44"/>
    <w:qFormat/>
    <w:uiPriority w:val="0"/>
    <w:rPr>
      <w:rFonts w:ascii="宋体"/>
      <w:kern w:val="2"/>
      <w:sz w:val="18"/>
      <w:szCs w:val="18"/>
    </w:rPr>
  </w:style>
  <w:style w:type="character" w:customStyle="1" w:styleId="164">
    <w:name w:val="引用 字符2"/>
    <w:link w:val="165"/>
    <w:qFormat/>
    <w:uiPriority w:val="0"/>
    <w:rPr>
      <w:i/>
      <w:iCs/>
      <w:color w:val="000000"/>
      <w:kern w:val="2"/>
      <w:sz w:val="21"/>
      <w:szCs w:val="22"/>
    </w:rPr>
  </w:style>
  <w:style w:type="paragraph" w:styleId="165">
    <w:name w:val="Quote"/>
    <w:basedOn w:val="1"/>
    <w:next w:val="1"/>
    <w:link w:val="164"/>
    <w:qFormat/>
    <w:uiPriority w:val="0"/>
    <w:rPr>
      <w:i/>
      <w:iCs/>
      <w:color w:val="000000"/>
      <w:kern w:val="2"/>
      <w:sz w:val="21"/>
      <w:szCs w:val="22"/>
    </w:rPr>
  </w:style>
  <w:style w:type="character" w:customStyle="1" w:styleId="166">
    <w:name w:val="批注框文本 Char1"/>
    <w:qFormat/>
    <w:uiPriority w:val="0"/>
    <w:rPr>
      <w:kern w:val="2"/>
      <w:sz w:val="18"/>
      <w:szCs w:val="18"/>
    </w:rPr>
  </w:style>
  <w:style w:type="character" w:customStyle="1" w:styleId="167">
    <w:name w:val="批注框文本 字符"/>
    <w:qFormat/>
    <w:uiPriority w:val="0"/>
    <w:rPr>
      <w:rFonts w:ascii="宋体" w:hAnsi="Times New Roman"/>
      <w:sz w:val="18"/>
      <w:szCs w:val="18"/>
    </w:rPr>
  </w:style>
  <w:style w:type="character" w:customStyle="1" w:styleId="168">
    <w:name w:val=" Char Char_0"/>
    <w:link w:val="169"/>
    <w:qFormat/>
    <w:uiPriority w:val="0"/>
    <w:rPr>
      <w:b/>
      <w:kern w:val="2"/>
      <w:sz w:val="21"/>
      <w:szCs w:val="24"/>
    </w:rPr>
  </w:style>
  <w:style w:type="paragraph" w:customStyle="1" w:styleId="169">
    <w:name w:val="正文文本缩进_0_0"/>
    <w:basedOn w:val="98"/>
    <w:link w:val="168"/>
    <w:qFormat/>
    <w:uiPriority w:val="0"/>
    <w:pPr>
      <w:ind w:firstLine="210"/>
    </w:pPr>
    <w:rPr>
      <w:b/>
      <w:kern w:val="2"/>
      <w:sz w:val="21"/>
      <w:szCs w:val="24"/>
    </w:rPr>
  </w:style>
  <w:style w:type="character" w:customStyle="1" w:styleId="170">
    <w:name w:val="正文文本 Char1"/>
    <w:qFormat/>
    <w:uiPriority w:val="0"/>
    <w:rPr>
      <w:kern w:val="2"/>
      <w:sz w:val="21"/>
      <w:szCs w:val="22"/>
    </w:rPr>
  </w:style>
  <w:style w:type="character" w:customStyle="1" w:styleId="171">
    <w:name w:val="正文文本 字符"/>
    <w:qFormat/>
    <w:uiPriority w:val="0"/>
    <w:rPr>
      <w:rFonts w:ascii="Times New Roman" w:hAnsi="Times New Roman"/>
    </w:rPr>
  </w:style>
  <w:style w:type="character" w:customStyle="1" w:styleId="172">
    <w:name w:val="纯文本 字符1"/>
    <w:qFormat/>
    <w:uiPriority w:val="0"/>
    <w:rPr>
      <w:rFonts w:ascii="宋体" w:hAnsi="Courier New"/>
      <w:kern w:val="2"/>
      <w:sz w:val="21"/>
      <w:szCs w:val="21"/>
    </w:rPr>
  </w:style>
  <w:style w:type="character" w:customStyle="1" w:styleId="173">
    <w:name w:val="标题 1 Char_0"/>
    <w:link w:val="174"/>
    <w:qFormat/>
    <w:uiPriority w:val="0"/>
    <w:rPr>
      <w:b/>
      <w:kern w:val="44"/>
      <w:sz w:val="44"/>
    </w:rPr>
  </w:style>
  <w:style w:type="paragraph" w:customStyle="1" w:styleId="174">
    <w:name w:val="标题 1_1"/>
    <w:basedOn w:val="175"/>
    <w:next w:val="175"/>
    <w:link w:val="173"/>
    <w:qFormat/>
    <w:uiPriority w:val="0"/>
    <w:pPr>
      <w:keepNext/>
      <w:keepLines/>
      <w:spacing w:before="340" w:beforeLines="0" w:after="330" w:afterLines="0" w:line="576" w:lineRule="auto"/>
      <w:outlineLvl w:val="0"/>
    </w:pPr>
    <w:rPr>
      <w:b/>
      <w:kern w:val="44"/>
      <w:sz w:val="44"/>
    </w:rPr>
  </w:style>
  <w:style w:type="paragraph" w:customStyle="1" w:styleId="17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6">
    <w:name w:val="批注文字 字符1"/>
    <w:qFormat/>
    <w:uiPriority w:val="0"/>
    <w:rPr>
      <w:kern w:val="2"/>
      <w:sz w:val="21"/>
      <w:szCs w:val="22"/>
    </w:rPr>
  </w:style>
  <w:style w:type="character" w:customStyle="1" w:styleId="177">
    <w:name w:val="文档结构图 字符1"/>
    <w:qFormat/>
    <w:uiPriority w:val="0"/>
    <w:rPr>
      <w:rFonts w:ascii="Microsoft YaHei UI" w:eastAsia="Microsoft YaHei UI"/>
      <w:kern w:val="2"/>
      <w:sz w:val="18"/>
      <w:szCs w:val="18"/>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spacing w:line="413" w:lineRule="auto"/>
    </w:pPr>
    <w:rPr>
      <w:rFonts w:ascii="Arial" w:hAnsi="Arial"/>
      <w:sz w:val="24"/>
      <w:szCs w:val="32"/>
    </w:rPr>
  </w:style>
  <w:style w:type="character" w:customStyle="1" w:styleId="180">
    <w:name w:val="纯文本 字符"/>
    <w:qFormat/>
    <w:uiPriority w:val="0"/>
    <w:rPr>
      <w:rFonts w:ascii="宋体" w:hAnsi="Courier New"/>
      <w:kern w:val="2"/>
      <w:sz w:val="21"/>
      <w:szCs w:val="21"/>
    </w:rPr>
  </w:style>
  <w:style w:type="paragraph" w:customStyle="1" w:styleId="181">
    <w:name w:val=" Char"/>
    <w:basedOn w:val="1"/>
    <w:qFormat/>
    <w:uiPriority w:val="0"/>
    <w:rPr>
      <w:rFonts w:ascii="Calibri" w:hAnsi="Calibri"/>
      <w:szCs w:val="22"/>
    </w:rPr>
  </w:style>
  <w:style w:type="paragraph" w:customStyle="1" w:styleId="18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3">
    <w:name w:val="Blockquote"/>
    <w:basedOn w:val="1"/>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xl49"/>
    <w:basedOn w:val="1"/>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8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90">
    <w:name w:val="Char"/>
    <w:basedOn w:val="1"/>
    <w:qFormat/>
    <w:uiPriority w:val="0"/>
  </w:style>
  <w:style w:type="paragraph" w:customStyle="1" w:styleId="19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
    <w:qFormat/>
    <w:uiPriority w:val="0"/>
    <w:rPr>
      <w:rFonts w:ascii="Times New Roman" w:hAnsi="Times New Roman" w:eastAsia="Times New Roman" w:cs="Times New Roman"/>
      <w:sz w:val="24"/>
      <w:szCs w:val="24"/>
      <w:lang w:bidi="ar-SA"/>
    </w:rPr>
  </w:style>
  <w:style w:type="paragraph" w:customStyle="1" w:styleId="19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_Style 195"/>
    <w:qFormat/>
    <w:uiPriority w:val="0"/>
    <w:rPr>
      <w:rFonts w:ascii="Times New Roman" w:hAnsi="Times New Roman" w:eastAsia="宋体" w:cs="Times New Roman"/>
      <w:kern w:val="2"/>
      <w:sz w:val="21"/>
      <w:szCs w:val="24"/>
      <w:lang w:val="en-US" w:eastAsia="zh-CN" w:bidi="ar-SA"/>
    </w:rPr>
  </w:style>
  <w:style w:type="paragraph" w:customStyle="1" w:styleId="197">
    <w:name w:val="Table Paragraph"/>
    <w:basedOn w:val="1"/>
    <w:qFormat/>
    <w:uiPriority w:val="1"/>
    <w:rPr>
      <w:rFonts w:ascii="宋体" w:hAnsi="宋体" w:eastAsia="宋体" w:cs="宋体"/>
      <w:lang w:val="zh-CN" w:eastAsia="zh-CN" w:bidi="zh-CN"/>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_Style 198"/>
    <w:basedOn w:val="3"/>
    <w:next w:val="1"/>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0">
    <w:name w:val="first-child"/>
    <w:basedOn w:val="44"/>
    <w:qFormat/>
    <w:uiPriority w:val="0"/>
  </w:style>
  <w:style w:type="character" w:customStyle="1" w:styleId="201">
    <w:name w:val="layui-layer-tabnow"/>
    <w:basedOn w:val="44"/>
    <w:qFormat/>
    <w:uiPriority w:val="0"/>
    <w:rPr>
      <w:bdr w:val="single" w:color="CCCCCC" w:sz="6" w:space="0"/>
      <w:shd w:val="clear" w:color="auto" w:fill="FFFFFF"/>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23</Pages>
  <Words>7256</Words>
  <Characters>8458</Characters>
  <Lines>164</Lines>
  <Paragraphs>46</Paragraphs>
  <TotalTime>2</TotalTime>
  <ScaleCrop>false</ScaleCrop>
  <LinksUpToDate>false</LinksUpToDate>
  <CharactersWithSpaces>10108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程度</cp:lastModifiedBy>
  <cp:lastPrinted>2023-07-10T03:25:00Z</cp:lastPrinted>
  <dcterms:modified xsi:type="dcterms:W3CDTF">2023-07-18T02:35:50Z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ECDC3919924B42C18A604BDA8150D4E1_13</vt:lpwstr>
  </property>
</Properties>
</file>