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i w:val="0"/>
          <w:iCs w:val="0"/>
          <w:caps w:val="0"/>
          <w:color w:val="4E4E4E"/>
          <w:spacing w:val="0"/>
          <w:sz w:val="30"/>
          <w:szCs w:val="30"/>
          <w:shd w:val="clear" w:fill="FFFFFF"/>
          <w:lang w:eastAsia="zh-CN"/>
        </w:rPr>
      </w:pPr>
      <w:r>
        <w:rPr>
          <w:rFonts w:hint="eastAsia" w:asciiTheme="majorEastAsia" w:hAnsiTheme="majorEastAsia" w:eastAsiaTheme="majorEastAsia" w:cstheme="majorEastAsia"/>
          <w:i w:val="0"/>
          <w:iCs w:val="0"/>
          <w:caps w:val="0"/>
          <w:color w:val="4E4E4E"/>
          <w:spacing w:val="0"/>
          <w:sz w:val="30"/>
          <w:szCs w:val="30"/>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30"/>
          <w:szCs w:val="30"/>
          <w:shd w:val="clear" w:fill="FFFFFF"/>
          <w:lang w:eastAsia="zh-CN"/>
        </w:rPr>
        <w:t>一标段</w:t>
      </w: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混凝土材料采购</w:t>
      </w:r>
    </w:p>
    <w:p>
      <w:pPr>
        <w:spacing w:line="360" w:lineRule="auto"/>
        <w:ind w:firstLine="2100" w:firstLineChars="700"/>
        <w:jc w:val="both"/>
        <w:rPr>
          <w:rFonts w:hint="default" w:asciiTheme="majorEastAsia" w:hAnsiTheme="majorEastAsia" w:eastAsiaTheme="majorEastAsia" w:cstheme="majorEastAsia"/>
          <w:b w:val="0"/>
          <w:bCs/>
          <w:color w:val="000000"/>
          <w:sz w:val="30"/>
          <w:szCs w:val="30"/>
          <w:lang w:val="en-US" w:eastAsia="zh-CN"/>
        </w:rPr>
      </w:pPr>
      <w:r>
        <w:rPr>
          <w:rFonts w:hint="eastAsia" w:asciiTheme="majorEastAsia" w:hAnsiTheme="majorEastAsia" w:eastAsiaTheme="majorEastAsia" w:cstheme="majorEastAsia"/>
          <w:b w:val="0"/>
          <w:bCs/>
          <w:color w:val="000000"/>
          <w:sz w:val="30"/>
          <w:szCs w:val="30"/>
          <w:lang w:val="en-US" w:eastAsia="zh-CN"/>
        </w:rPr>
        <w:t>项目编号：AHJT-2023-07-001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 4日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rPr>
          <w:rFonts w:hint="eastAsia" w:ascii="Times New Roman" w:hAnsi="宋体" w:eastAsia="华文中宋" w:cs="宋体"/>
          <w:b w:val="0"/>
          <w:bCs/>
          <w:color w:val="auto"/>
          <w:spacing w:val="37"/>
          <w:sz w:val="32"/>
          <w:szCs w:val="32"/>
          <w:lang w:eastAsia="zh-CN"/>
        </w:rPr>
      </w:pPr>
      <w:bookmarkStart w:id="0" w:name="_Toc247085674"/>
      <w:bookmarkStart w:id="1" w:name="_Toc246996160"/>
      <w:bookmarkStart w:id="2" w:name="_Toc179632530"/>
      <w:bookmarkStart w:id="3" w:name="_Toc152042290"/>
      <w:bookmarkStart w:id="4" w:name="_Toc329851755"/>
      <w:bookmarkStart w:id="5" w:name="_Toc144974482"/>
      <w:bookmarkStart w:id="6" w:name="_Toc152045514"/>
      <w:bookmarkStart w:id="7" w:name="_Toc246996903"/>
      <w:r>
        <w:rPr>
          <w:rFonts w:hint="eastAsia" w:asciiTheme="majorEastAsia" w:hAnsiTheme="majorEastAsia" w:eastAsiaTheme="majorEastAsia" w:cstheme="majorEastAsia"/>
          <w:i w:val="0"/>
          <w:iCs w:val="0"/>
          <w:caps w:val="0"/>
          <w:color w:val="4E4E4E"/>
          <w:spacing w:val="0"/>
          <w:sz w:val="28"/>
          <w:szCs w:val="28"/>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28"/>
          <w:szCs w:val="28"/>
          <w:shd w:val="clear" w:fill="FFFFFF"/>
          <w:lang w:eastAsia="zh-CN"/>
        </w:rPr>
        <w:t>一标段</w:t>
      </w:r>
      <w:r>
        <w:rPr>
          <w:rFonts w:hint="eastAsia" w:asciiTheme="majorEastAsia" w:hAnsiTheme="majorEastAsia" w:eastAsiaTheme="majorEastAsia" w:cstheme="majorEastAsia"/>
          <w:b w:val="0"/>
          <w:bCs/>
          <w:color w:val="auto"/>
          <w:spacing w:val="37"/>
          <w:sz w:val="28"/>
          <w:szCs w:val="28"/>
          <w:lang w:eastAsia="zh-CN"/>
        </w:rPr>
        <w:t>混凝土材料采购</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widowControl/>
        <w:suppressLineNumbers w:val="0"/>
        <w:jc w:val="center"/>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i w:val="0"/>
          <w:iCs w:val="0"/>
          <w:caps w:val="0"/>
          <w:color w:val="4E4E4E"/>
          <w:spacing w:val="0"/>
          <w:sz w:val="24"/>
          <w:szCs w:val="24"/>
          <w:shd w:val="clear" w:fill="FFFFFF"/>
        </w:rPr>
        <w:t>安徽省宁国市G329小汪村及梅林段一级公路改建工程</w:t>
      </w:r>
      <w:r>
        <w:rPr>
          <w:rFonts w:hint="eastAsia" w:asciiTheme="minorEastAsia" w:hAnsiTheme="minorEastAsia" w:eastAsiaTheme="minorEastAsia" w:cstheme="minorEastAsia"/>
          <w:i w:val="0"/>
          <w:iCs w:val="0"/>
          <w:caps w:val="0"/>
          <w:color w:val="4E4E4E"/>
          <w:spacing w:val="0"/>
          <w:sz w:val="24"/>
          <w:szCs w:val="24"/>
          <w:shd w:val="clear" w:fill="FFFFFF"/>
          <w:lang w:eastAsia="zh-CN"/>
        </w:rPr>
        <w:t>一标段</w:t>
      </w:r>
      <w:r>
        <w:rPr>
          <w:rFonts w:hint="eastAsia" w:asciiTheme="majorEastAsia" w:hAnsiTheme="majorEastAsia" w:eastAsiaTheme="majorEastAsia" w:cstheme="majorEastAsia"/>
          <w:b w:val="0"/>
          <w:bCs/>
          <w:color w:val="auto"/>
          <w:spacing w:val="37"/>
          <w:sz w:val="24"/>
          <w:szCs w:val="24"/>
          <w:lang w:eastAsia="zh-CN"/>
        </w:rPr>
        <w:t>混凝土材料采购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val="0"/>
          <w:bCs/>
          <w:color w:val="auto"/>
          <w:spacing w:val="37"/>
          <w:sz w:val="24"/>
          <w:szCs w:val="24"/>
          <w:lang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预拌商品混凝土的采购，预拌商品混凝土生产、运输、装卸、汽车泵泵送、检测及在质保期内发生的任何缺陷的修复。</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Theme="minorEastAsia" w:hAnsiTheme="minorEastAsia" w:eastAsiaTheme="minorEastAsia" w:cstheme="minorEastAsia"/>
          <w:i w:val="0"/>
          <w:iCs w:val="0"/>
          <w:caps w:val="0"/>
          <w:color w:val="4E4E4E"/>
          <w:spacing w:val="0"/>
          <w:sz w:val="24"/>
          <w:szCs w:val="24"/>
          <w:shd w:val="clear" w:fill="FFFFFF"/>
        </w:rPr>
        <w:t>安徽省宁国市G329小汪村</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、工程质量：合格</w:t>
      </w:r>
      <w:r>
        <w:rPr>
          <w:rFonts w:hint="eastAsia" w:ascii="宋体" w:hAnsi="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投标人提供的产品质量必须符合国家（行业）有关标准以及施工图纸的具体要求；</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2292"/>
      <w:bookmarkStart w:id="9" w:name="_Toc144974484"/>
      <w:bookmarkStart w:id="10" w:name="_Toc246996162"/>
      <w:bookmarkStart w:id="11" w:name="_Toc246996905"/>
      <w:bookmarkStart w:id="12" w:name="_Toc247085676"/>
      <w:bookmarkStart w:id="13" w:name="_Toc152045516"/>
      <w:bookmarkStart w:id="14" w:name="_Toc179632532"/>
    </w:p>
    <w:p>
      <w:pPr>
        <w:pStyle w:val="3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20" w:leftChars="100" w:right="0" w:hanging="480" w:hangingChars="200"/>
        <w:jc w:val="left"/>
        <w:rPr>
          <w:rFonts w:ascii="微软雅黑" w:hAnsi="微软雅黑" w:eastAsia="微软雅黑" w:cs="微软雅黑"/>
          <w:caps w:val="0"/>
          <w:color w:val="333333"/>
          <w:spacing w:val="0"/>
          <w:sz w:val="24"/>
          <w:szCs w:val="24"/>
        </w:rPr>
      </w:pPr>
      <w:r>
        <w:rPr>
          <w:rFonts w:hint="eastAsia" w:ascii="宋体" w:hAnsi="宋体" w:eastAsia="宋体" w:cs="宋体"/>
          <w:sz w:val="24"/>
          <w:szCs w:val="24"/>
          <w:lang w:val="en-US" w:eastAsia="zh-CN"/>
        </w:rPr>
        <w:t>2.1</w:t>
      </w:r>
      <w:r>
        <w:rPr>
          <w:rFonts w:hint="eastAsia" w:eastAsia="宋体" w:cs="宋体"/>
          <w:sz w:val="24"/>
          <w:szCs w:val="24"/>
          <w:lang w:val="en-US" w:eastAsia="zh-CN"/>
        </w:rPr>
        <w:t>.1</w:t>
      </w:r>
      <w:r>
        <w:rPr>
          <w:rFonts w:hint="eastAsia" w:ascii="宋体" w:hAnsi="宋体" w:eastAsia="宋体" w:cs="宋体"/>
          <w:sz w:val="24"/>
          <w:szCs w:val="24"/>
          <w:lang w:val="en-US" w:eastAsia="zh-CN"/>
        </w:rPr>
        <w:t>、投标人须</w:t>
      </w:r>
      <w:r>
        <w:rPr>
          <w:rFonts w:hint="eastAsia" w:ascii="宋体" w:hAnsi="宋体" w:eastAsia="宋体" w:cs="宋体"/>
          <w:caps w:val="0"/>
          <w:color w:val="333333"/>
          <w:spacing w:val="0"/>
          <w:sz w:val="24"/>
          <w:szCs w:val="24"/>
        </w:rPr>
        <w:t>具有独立法人资格并取得预拌商品混凝土专业企业三级及以上资质；</w:t>
      </w:r>
    </w:p>
    <w:p>
      <w:pPr>
        <w:pStyle w:val="3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jc w:val="left"/>
        <w:rPr>
          <w:rFonts w:hint="eastAsia" w:ascii="宋体" w:hAnsi="宋体" w:eastAsia="宋体" w:cs="宋体"/>
          <w:caps w:val="0"/>
          <w:color w:val="333333"/>
          <w:spacing w:val="0"/>
          <w:sz w:val="24"/>
          <w:szCs w:val="24"/>
        </w:rPr>
      </w:pPr>
      <w:r>
        <w:rPr>
          <w:rFonts w:hint="eastAsia" w:ascii="宋体" w:hAnsi="宋体" w:eastAsia="宋体" w:cs="宋体"/>
          <w:sz w:val="24"/>
          <w:szCs w:val="24"/>
          <w:lang w:val="en-US" w:eastAsia="zh-CN"/>
        </w:rPr>
        <w:t>2.1</w:t>
      </w:r>
      <w:r>
        <w:rPr>
          <w:rFonts w:hint="eastAsia" w:eastAsia="宋体" w:cs="宋体"/>
          <w:sz w:val="24"/>
          <w:szCs w:val="24"/>
          <w:lang w:val="en-US" w:eastAsia="zh-CN"/>
        </w:rPr>
        <w:t>.2、</w:t>
      </w:r>
      <w:r>
        <w:rPr>
          <w:rFonts w:hint="eastAsia" w:ascii="宋体" w:hAnsi="宋体" w:eastAsia="宋体" w:cs="宋体"/>
          <w:caps w:val="0"/>
          <w:color w:val="333333"/>
          <w:spacing w:val="0"/>
          <w:sz w:val="24"/>
          <w:szCs w:val="24"/>
        </w:rPr>
        <w:t>提供的产品质量保证、性能可靠、技术合格</w:t>
      </w:r>
      <w:r>
        <w:rPr>
          <w:rFonts w:hint="eastAsia" w:eastAsia="宋体" w:cs="宋体"/>
          <w:caps w:val="0"/>
          <w:color w:val="333333"/>
          <w:spacing w:val="0"/>
          <w:sz w:val="24"/>
          <w:szCs w:val="24"/>
          <w:lang w:val="en-US" w:eastAsia="zh-CN"/>
        </w:rPr>
        <w:t>,服务到位</w:t>
      </w:r>
      <w:r>
        <w:rPr>
          <w:rFonts w:hint="eastAsia" w:ascii="宋体" w:hAnsi="宋体" w:eastAsia="宋体" w:cs="宋体"/>
          <w:caps w:val="0"/>
          <w:color w:val="333333"/>
          <w:spacing w:val="0"/>
          <w:sz w:val="24"/>
          <w:szCs w:val="24"/>
        </w:rPr>
        <w:t>；</w:t>
      </w:r>
    </w:p>
    <w:p>
      <w:pPr>
        <w:pStyle w:val="3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jc w:val="left"/>
        <w:rPr>
          <w:rFonts w:hint="eastAsia" w:ascii="微软雅黑" w:hAnsi="微软雅黑" w:eastAsia="微软雅黑" w:cs="微软雅黑"/>
          <w:caps w:val="0"/>
          <w:color w:val="333333"/>
          <w:spacing w:val="0"/>
          <w:sz w:val="24"/>
          <w:szCs w:val="24"/>
        </w:rPr>
      </w:pPr>
      <w:r>
        <w:rPr>
          <w:rFonts w:hint="eastAsia" w:ascii="宋体" w:hAnsi="宋体" w:eastAsia="宋体" w:cs="宋体"/>
          <w:sz w:val="24"/>
          <w:szCs w:val="24"/>
          <w:lang w:val="en-US" w:eastAsia="zh-CN"/>
        </w:rPr>
        <w:t>2.</w:t>
      </w:r>
      <w:r>
        <w:rPr>
          <w:rFonts w:hint="eastAsia" w:ascii="宋体" w:hAnsi="宋体" w:eastAsia="宋体" w:cs="宋体"/>
          <w:caps w:val="0"/>
          <w:color w:val="333333"/>
          <w:spacing w:val="0"/>
          <w:sz w:val="24"/>
          <w:szCs w:val="24"/>
          <w:lang w:val="en-US" w:eastAsia="zh-CN"/>
        </w:rPr>
        <w:t>1.3、</w:t>
      </w:r>
      <w:r>
        <w:rPr>
          <w:rFonts w:hint="eastAsia" w:ascii="宋体" w:hAnsi="宋体" w:eastAsia="宋体" w:cs="宋体"/>
          <w:caps w:val="0"/>
          <w:color w:val="333333"/>
          <w:spacing w:val="0"/>
          <w:sz w:val="24"/>
          <w:szCs w:val="24"/>
        </w:rPr>
        <w:t>具有良好的商业信誉和健全的财务会计制度；</w:t>
      </w:r>
    </w:p>
    <w:p>
      <w:pPr>
        <w:pStyle w:val="3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40" w:firstLineChars="100"/>
        <w:jc w:val="left"/>
        <w:rPr>
          <w:rFonts w:hint="eastAsia" w:ascii="微软雅黑" w:hAnsi="微软雅黑" w:eastAsia="微软雅黑" w:cs="微软雅黑"/>
          <w:caps w:val="0"/>
          <w:color w:val="333333"/>
          <w:spacing w:val="0"/>
          <w:sz w:val="24"/>
          <w:szCs w:val="24"/>
        </w:rPr>
      </w:pPr>
      <w:r>
        <w:rPr>
          <w:rFonts w:hint="eastAsia" w:ascii="宋体" w:hAnsi="宋体" w:eastAsia="宋体" w:cs="宋体"/>
          <w:sz w:val="24"/>
          <w:szCs w:val="24"/>
          <w:lang w:val="en-US" w:eastAsia="zh-CN"/>
        </w:rPr>
        <w:t>2.</w:t>
      </w:r>
      <w:r>
        <w:rPr>
          <w:rFonts w:hint="eastAsia" w:ascii="宋体" w:hAnsi="宋体" w:eastAsia="宋体" w:cs="宋体"/>
          <w:caps w:val="0"/>
          <w:color w:val="333333"/>
          <w:spacing w:val="0"/>
          <w:sz w:val="24"/>
          <w:szCs w:val="24"/>
          <w:lang w:val="en-US" w:eastAsia="zh-CN"/>
        </w:rPr>
        <w:t>1.4、</w:t>
      </w:r>
      <w:r>
        <w:rPr>
          <w:rFonts w:hint="eastAsia" w:ascii="宋体" w:hAnsi="宋体" w:eastAsia="宋体" w:cs="宋体"/>
          <w:caps w:val="0"/>
          <w:color w:val="333333"/>
          <w:spacing w:val="0"/>
          <w:sz w:val="24"/>
          <w:szCs w:val="24"/>
        </w:rPr>
        <w:t>具有履行合同的能力；</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240" w:firstLineChars="100"/>
        <w:jc w:val="left"/>
        <w:rPr>
          <w:rFonts w:hint="eastAsia" w:ascii="宋体" w:hAnsi="宋体" w:eastAsia="宋体" w:cs="宋体"/>
          <w:caps w:val="0"/>
          <w:color w:val="333333"/>
          <w:spacing w:val="0"/>
          <w:sz w:val="24"/>
          <w:szCs w:val="24"/>
          <w:shd w:val="clear" w:fill="FFFFFF"/>
        </w:rPr>
      </w:pPr>
      <w:r>
        <w:rPr>
          <w:rFonts w:hint="eastAsia" w:ascii="宋体" w:hAnsi="宋体" w:eastAsia="宋体" w:cs="宋体"/>
          <w:sz w:val="24"/>
          <w:szCs w:val="24"/>
          <w:lang w:val="en-US" w:eastAsia="zh-CN"/>
        </w:rPr>
        <w:t>2.</w:t>
      </w:r>
      <w:r>
        <w:rPr>
          <w:rFonts w:hint="eastAsia" w:ascii="宋体" w:hAnsi="宋体" w:eastAsia="宋体" w:cs="宋体"/>
          <w:caps w:val="0"/>
          <w:color w:val="333333"/>
          <w:spacing w:val="0"/>
          <w:sz w:val="24"/>
          <w:szCs w:val="24"/>
          <w:shd w:val="clear" w:fill="FFFFFF"/>
          <w:lang w:val="en-US" w:eastAsia="zh-CN"/>
        </w:rPr>
        <w:t>1.5、</w:t>
      </w:r>
      <w:r>
        <w:rPr>
          <w:rFonts w:hint="eastAsia" w:ascii="宋体" w:hAnsi="宋体" w:eastAsia="宋体" w:cs="宋体"/>
          <w:caps w:val="0"/>
          <w:color w:val="333333"/>
          <w:spacing w:val="0"/>
          <w:sz w:val="24"/>
          <w:szCs w:val="24"/>
          <w:shd w:val="clear" w:fill="FFFFFF"/>
        </w:rPr>
        <w:t>企业生产预拌商品混凝土地点距离</w:t>
      </w:r>
      <w:r>
        <w:rPr>
          <w:rFonts w:hint="eastAsia" w:ascii="宋体" w:hAnsi="宋体" w:eastAsia="宋体" w:cs="宋体"/>
          <w:caps w:val="0"/>
          <w:color w:val="333333"/>
          <w:spacing w:val="0"/>
          <w:sz w:val="24"/>
          <w:szCs w:val="24"/>
          <w:shd w:val="clear" w:fill="FFFFFF"/>
          <w:lang w:eastAsia="zh-CN"/>
        </w:rPr>
        <w:t>施工</w:t>
      </w:r>
      <w:r>
        <w:rPr>
          <w:rFonts w:hint="eastAsia" w:ascii="宋体" w:hAnsi="宋体" w:eastAsia="宋体" w:cs="宋体"/>
          <w:caps w:val="0"/>
          <w:color w:val="333333"/>
          <w:spacing w:val="0"/>
          <w:sz w:val="24"/>
          <w:szCs w:val="24"/>
          <w:shd w:val="clear" w:fill="FFFFFF"/>
        </w:rPr>
        <w:t>地点十公里之内，且具备两条（含）以上生产线。</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240" w:firstLineChars="100"/>
        <w:jc w:val="left"/>
        <w:rPr>
          <w:rFonts w:hint="default" w:ascii="宋体" w:hAnsi="宋体" w:eastAsia="宋体" w:cs="宋体"/>
          <w:caps w:val="0"/>
          <w:color w:val="333333"/>
          <w:spacing w:val="0"/>
          <w:sz w:val="24"/>
          <w:szCs w:val="24"/>
          <w:shd w:val="clear" w:fill="FFFFFF"/>
          <w:lang w:val="en-US" w:eastAsia="zh-CN"/>
        </w:rPr>
      </w:pPr>
      <w:r>
        <w:rPr>
          <w:rFonts w:hint="eastAsia" w:ascii="宋体" w:hAnsi="宋体" w:eastAsia="宋体" w:cs="宋体"/>
          <w:caps w:val="0"/>
          <w:color w:val="333333"/>
          <w:spacing w:val="0"/>
          <w:sz w:val="24"/>
          <w:szCs w:val="24"/>
          <w:shd w:val="clear" w:fill="FFFFFF"/>
          <w:lang w:val="en-US" w:eastAsia="zh-CN"/>
        </w:rPr>
        <w:t>2.2、</w:t>
      </w:r>
      <w:r>
        <w:rPr>
          <w:rFonts w:hint="eastAsia" w:ascii="宋体" w:hAnsi="宋体" w:eastAsia="宋体" w:cs="宋体"/>
          <w:i w:val="0"/>
          <w:iCs w:val="0"/>
          <w:caps w:val="0"/>
          <w:color w:val="333333"/>
          <w:spacing w:val="0"/>
          <w:sz w:val="24"/>
          <w:szCs w:val="24"/>
          <w:shd w:val="clear" w:fill="FFFFFF"/>
        </w:rPr>
        <w:t>供货要求：配合整体工程进度，具体进场时间由招标人另行通知。</w:t>
      </w:r>
    </w:p>
    <w:p>
      <w:pPr>
        <w:pStyle w:val="184"/>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default"/>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本项目发生的</w:t>
      </w:r>
      <w:r>
        <w:rPr>
          <w:rFonts w:hint="eastAsia" w:ascii="宋体" w:hAnsi="宋体" w:eastAsia="宋体" w:cs="宋体"/>
          <w:sz w:val="24"/>
          <w:szCs w:val="24"/>
          <w:lang w:val="en-US" w:eastAsia="zh-CN"/>
        </w:rPr>
        <w:t>二次转运</w:t>
      </w:r>
      <w:r>
        <w:rPr>
          <w:rFonts w:hint="eastAsia" w:ascii="宋体" w:hAnsi="宋体" w:cs="宋体"/>
          <w:sz w:val="24"/>
          <w:szCs w:val="24"/>
          <w:lang w:val="en-US" w:eastAsia="zh-CN"/>
        </w:rPr>
        <w:t>费，投标人需</w:t>
      </w:r>
      <w:r>
        <w:rPr>
          <w:rFonts w:hint="eastAsia" w:ascii="宋体" w:hAnsi="宋体" w:eastAsia="宋体" w:cs="宋体"/>
          <w:sz w:val="24"/>
          <w:szCs w:val="24"/>
          <w:lang w:val="en-US" w:eastAsia="zh-CN"/>
        </w:rPr>
        <w:t>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 xml:space="preserve">10 </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52042301"/>
      <w:bookmarkEnd w:id="15"/>
      <w:bookmarkStart w:id="16" w:name="_Toc246996172"/>
      <w:bookmarkEnd w:id="16"/>
      <w:bookmarkStart w:id="17" w:name="_Toc247085686"/>
      <w:bookmarkEnd w:id="17"/>
      <w:bookmarkStart w:id="18" w:name="_Toc246996915"/>
      <w:bookmarkEnd w:id="18"/>
      <w:bookmarkStart w:id="19" w:name="_Toc296602416"/>
      <w:bookmarkEnd w:id="19"/>
      <w:bookmarkStart w:id="20" w:name="_Toc152045525"/>
      <w:bookmarkEnd w:id="20"/>
      <w:bookmarkStart w:id="21" w:name="_Toc17963254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default"/>
          <w:lang w:val="en-US" w:eastAsia="zh-CN"/>
        </w:rPr>
      </w:pPr>
    </w:p>
    <w:p>
      <w:pPr>
        <w:pStyle w:val="2"/>
        <w:rPr>
          <w:rFonts w:hint="eastAsia"/>
          <w:lang w:val="en-US" w:eastAsia="zh-CN"/>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548" w:type="dxa"/>
        <w:tblInd w:w="-72" w:type="dxa"/>
        <w:tblLayout w:type="fixed"/>
        <w:tblCellMar>
          <w:top w:w="0" w:type="dxa"/>
          <w:left w:w="108" w:type="dxa"/>
          <w:bottom w:w="0" w:type="dxa"/>
          <w:right w:w="108" w:type="dxa"/>
        </w:tblCellMar>
      </w:tblPr>
      <w:tblGrid>
        <w:gridCol w:w="573"/>
        <w:gridCol w:w="4427"/>
        <w:gridCol w:w="5548"/>
      </w:tblGrid>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4427" w:type="dxa"/>
            <w:tcBorders>
              <w:top w:val="single" w:color="E9AD1D" w:sz="4" w:space="0"/>
              <w:left w:val="single" w:color="FBF1D7" w:sz="4" w:space="0"/>
              <w:bottom w:val="single" w:color="E9AD1D" w:sz="4" w:space="0"/>
              <w:right w:val="single" w:color="FFFFFF"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548"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4427" w:type="dxa"/>
            <w:tcBorders>
              <w:top w:val="single" w:color="E9AD1D"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548"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 xml:space="preserve"> 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bookmarkStart w:id="38" w:name="_GoBack"/>
            <w:bookmarkEnd w:id="38"/>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77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最高控制价</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 xml:space="preserve"> </w:t>
            </w:r>
            <w:r>
              <w:rPr>
                <w:rFonts w:hint="eastAsia"/>
                <w:sz w:val="21"/>
                <w:szCs w:val="21"/>
                <w:lang w:val="en-US" w:eastAsia="zh-CN"/>
              </w:rPr>
              <w:t>供应商自行考虑报价，一经报价，将按报价单价作为基数涨跌</w:t>
            </w:r>
            <w:r>
              <w:rPr>
                <w:rFonts w:hint="eastAsia" w:ascii="宋体" w:hAnsi="宋体" w:cs="宋体"/>
                <w:color w:val="000000"/>
                <w:sz w:val="21"/>
                <w:szCs w:val="21"/>
                <w:u w:val="none"/>
                <w:lang w:val="en-US" w:eastAsia="zh-CN"/>
              </w:rPr>
              <w:t xml:space="preserve"> </w:t>
            </w:r>
            <w:r>
              <w:rPr>
                <w:rFonts w:hint="eastAsia" w:ascii="宋体" w:hAnsi="宋体" w:cs="宋体"/>
                <w:sz w:val="21"/>
                <w:szCs w:val="21"/>
                <w:u w:val="none"/>
                <w:lang w:val="en-US" w:eastAsia="zh-CN"/>
              </w:rPr>
              <w:t>（含13个点增值税）</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rPr>
          <w:trHeight w:val="26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9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68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65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63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履约保证金</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履约担保金额：10万元整人民币，竣工验收合格后一次性返还，(无息)。</w:t>
            </w:r>
          </w:p>
          <w:p>
            <w:pPr>
              <w:spacing w:line="400" w:lineRule="exact"/>
              <w:jc w:val="both"/>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履约担保形式：</w:t>
            </w:r>
            <w:r>
              <w:rPr>
                <w:rFonts w:hint="eastAsia" w:ascii="宋体" w:hAnsi="宋体" w:eastAsia="宋体" w:cs="宋体"/>
                <w:color w:val="000000"/>
                <w:sz w:val="23"/>
                <w:szCs w:val="23"/>
                <w:lang w:val="en-US" w:eastAsia="zh-CN"/>
              </w:rPr>
              <w:sym w:font="Wingdings 2" w:char="00A3"/>
            </w:r>
            <w:r>
              <w:rPr>
                <w:rFonts w:hint="eastAsia" w:ascii="宋体" w:hAnsi="宋体" w:eastAsia="宋体" w:cs="宋体"/>
                <w:color w:val="000000"/>
                <w:sz w:val="23"/>
                <w:szCs w:val="23"/>
                <w:lang w:val="en-US" w:eastAsia="zh-CN"/>
              </w:rPr>
              <w:t>转账或者现金</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企业安全生产许可证；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4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w:t>
            </w:r>
            <w:r>
              <w:rPr>
                <w:rFonts w:hint="eastAsia" w:ascii="宋体" w:hAnsi="宋体" w:eastAsia="宋体" w:cs="宋体"/>
                <w:color w:val="000000"/>
                <w:sz w:val="23"/>
                <w:szCs w:val="23"/>
                <w:lang w:val="en-US" w:eastAsia="zh-CN"/>
              </w:rPr>
              <w:sym w:font="Wingdings 2" w:char="0052"/>
            </w:r>
            <w:r>
              <w:rPr>
                <w:rFonts w:hint="eastAsia" w:ascii="宋体" w:hAnsi="宋体" w:eastAsia="宋体" w:cs="宋体"/>
                <w:color w:val="000000"/>
                <w:sz w:val="23"/>
                <w:szCs w:val="23"/>
                <w:lang w:val="en-US" w:eastAsia="zh-CN"/>
              </w:rPr>
              <w:t xml:space="preserve"> 固定单价合同，投标单价不予调整。</w:t>
            </w:r>
            <w:r>
              <w:rPr>
                <w:rFonts w:hint="eastAsia" w:ascii="宋体" w:hAnsi="宋体" w:eastAsia="宋体" w:cs="宋体"/>
                <w:sz w:val="23"/>
                <w:szCs w:val="23"/>
                <w:lang w:val="en-US" w:eastAsia="zh-CN"/>
              </w:rPr>
              <w:t>中标单价*暂定工程量，结算总价=中标单价*实际工程量；</w:t>
            </w:r>
          </w:p>
          <w:p>
            <w:pPr>
              <w:numPr>
                <w:ilvl w:val="0"/>
                <w:numId w:val="0"/>
              </w:numPr>
              <w:jc w:val="both"/>
              <w:rPr>
                <w:rFonts w:hint="eastAsia" w:ascii="宋体" w:hAnsi="宋体" w:eastAsia="宋体" w:cs="宋体"/>
                <w:sz w:val="22"/>
                <w:szCs w:val="22"/>
                <w:lang w:val="en-US" w:eastAsia="zh-CN"/>
              </w:rPr>
            </w:pPr>
            <w:r>
              <w:rPr>
                <w:rFonts w:hint="eastAsia" w:ascii="宋体" w:hAnsi="宋体" w:eastAsia="宋体" w:cs="宋体"/>
                <w:color w:val="000000"/>
                <w:sz w:val="23"/>
                <w:szCs w:val="23"/>
                <w:lang w:val="en-US" w:eastAsia="zh-CN"/>
              </w:rPr>
              <w:t>2、付款方式：</w:t>
            </w:r>
            <w:r>
              <w:rPr>
                <w:rFonts w:hint="eastAsia" w:ascii="宋体" w:hAnsi="宋体" w:eastAsia="宋体" w:cs="宋体"/>
                <w:sz w:val="22"/>
                <w:szCs w:val="22"/>
                <w:lang w:val="en-US" w:eastAsia="zh-CN"/>
              </w:rPr>
              <w:t>乙方前期垫资15000m³（暂定以实际中标承诺量为准）混凝土货款，待建设单位第一次向甲方付款后，7个工作日内甲方向乙方支付15000m³（暂定以实际中标承诺量为准）混凝土货款的70%；</w:t>
            </w:r>
          </w:p>
          <w:p>
            <w:pPr>
              <w:numPr>
                <w:ilvl w:val="0"/>
                <w:numId w:val="0"/>
              </w:numPr>
              <w:jc w:val="both"/>
              <w:rPr>
                <w:rFonts w:hint="eastAsia" w:ascii="宋体" w:hAnsi="宋体" w:eastAsia="宋体" w:cs="宋体"/>
                <w:color w:val="000000"/>
                <w:sz w:val="28"/>
                <w:szCs w:val="28"/>
                <w:lang w:val="en-US" w:eastAsia="zh-CN"/>
              </w:rPr>
            </w:pPr>
            <w:r>
              <w:rPr>
                <w:rFonts w:hint="eastAsia" w:ascii="宋体" w:hAnsi="宋体" w:eastAsia="宋体" w:cs="宋体"/>
                <w:sz w:val="22"/>
                <w:szCs w:val="22"/>
                <w:lang w:val="en-US" w:eastAsia="zh-CN"/>
              </w:rPr>
              <w:t>当乙方前期垫资15000m³（暂定以实际中标承诺量为准）混凝土货款完毕后，超出的部分由甲方每月向乙方支付上月所用混凝土货款的70%，竣工验收合格后支付全部混凝土货款的80%，剩余混凝土货款待审计结束后一个月内一次性付清（无息）。</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both"/>
              <w:rPr>
                <w:rFonts w:hint="eastAsia" w:ascii="宋体" w:hAnsi="宋体" w:eastAsia="宋体" w:cs="宋体"/>
                <w:color w:val="000000"/>
                <w:sz w:val="24"/>
                <w:szCs w:val="24"/>
              </w:rPr>
            </w:pPr>
          </w:p>
        </w:tc>
        <w:tc>
          <w:tcPr>
            <w:tcW w:w="9975" w:type="dxa"/>
            <w:gridSpan w:val="2"/>
            <w:tcBorders>
              <w:top w:val="single" w:color="FBF1D7" w:sz="4" w:space="0"/>
              <w:left w:val="single" w:color="FBF1D7" w:sz="4" w:space="0"/>
              <w:bottom w:val="single" w:color="E9AD1D" w:sz="4" w:space="0"/>
              <w:right w:val="single" w:color="FFFFFF" w:sz="4" w:space="0"/>
            </w:tcBorders>
            <w:shd w:val="clear" w:color="auto" w:fill="FBF1D7"/>
            <w:noWrap w:val="0"/>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pPr>
              <w:numPr>
                <w:ilvl w:val="0"/>
                <w:numId w:val="2"/>
              </w:numPr>
              <w:spacing w:line="400" w:lineRule="exact"/>
              <w:jc w:val="left"/>
              <w:rPr>
                <w:rFonts w:hint="default"/>
                <w:lang w:val="en-US" w:eastAsia="zh-CN"/>
              </w:rPr>
            </w:pPr>
            <w:r>
              <w:rPr>
                <w:rFonts w:hint="eastAsia" w:ascii="宋体" w:hAnsi="宋体" w:eastAsia="宋体" w:cs="宋体"/>
                <w:color w:val="000000"/>
                <w:sz w:val="24"/>
                <w:szCs w:val="24"/>
                <w:lang w:val="en-US" w:eastAsia="zh-CN"/>
              </w:rPr>
              <w:t>本工程提供</w:t>
            </w: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增值税专用发票。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调价条件：按PO42.5散装水泥XXX元/吨为基数，涨跌XXX元/吨，混凝土涨跌XXX元/m³。</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eastAsia="zh-CN"/>
              </w:rPr>
              <w:t>全额</w:t>
            </w:r>
            <w:r>
              <w:rPr>
                <w:rFonts w:hint="eastAsia" w:asciiTheme="minorEastAsia" w:hAnsiTheme="minorEastAsia" w:eastAsiaTheme="minorEastAsia" w:cstheme="minorEastAsia"/>
                <w:color w:val="000000"/>
                <w:sz w:val="24"/>
                <w:szCs w:val="24"/>
              </w:rPr>
              <w:t>入库保证金，另停止其6个月</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sz w:val="24"/>
                <w:szCs w:val="24"/>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79632565"/>
      <w:bookmarkStart w:id="23" w:name="_Toc144974515"/>
      <w:bookmarkStart w:id="24" w:name="_Toc246996935"/>
      <w:bookmarkStart w:id="25" w:name="_Toc247085706"/>
      <w:bookmarkStart w:id="26" w:name="_Toc152042323"/>
      <w:bookmarkStart w:id="27" w:name="_Toc246996192"/>
      <w:bookmarkStart w:id="28" w:name="_Toc296602437"/>
      <w:bookmarkStart w:id="29" w:name="_Toc15204554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widowControl/>
        <w:jc w:val="left"/>
        <w:rPr>
          <w:rFonts w:ascii="宋体" w:hAnsi="宋体" w:eastAsia="宋体" w:cs="宋体"/>
          <w:kern w:val="0"/>
          <w:sz w:val="24"/>
          <w:szCs w:val="24"/>
        </w:rPr>
      </w:pPr>
      <w:r>
        <w:rPr>
          <w:rFonts w:hint="eastAsia" w:ascii="黑体" w:hAnsi="黑体" w:eastAsia="黑体" w:cs="宋体"/>
          <w:color w:val="000000"/>
          <w:kern w:val="0"/>
          <w:sz w:val="29"/>
          <w:szCs w:val="29"/>
        </w:rPr>
        <w:t>综合评</w:t>
      </w:r>
      <w:r>
        <w:rPr>
          <w:rFonts w:hint="eastAsia" w:ascii="黑体" w:hAnsi="黑体" w:eastAsia="黑体" w:cs="宋体"/>
          <w:color w:val="000000"/>
          <w:kern w:val="0"/>
          <w:sz w:val="29"/>
          <w:szCs w:val="29"/>
          <w:lang w:eastAsia="zh-CN"/>
        </w:rPr>
        <w:t>标</w:t>
      </w:r>
      <w:r>
        <w:rPr>
          <w:rFonts w:hint="eastAsia" w:ascii="黑体" w:hAnsi="黑体" w:eastAsia="黑体" w:cs="宋体"/>
          <w:color w:val="000000"/>
          <w:kern w:val="0"/>
          <w:sz w:val="29"/>
          <w:szCs w:val="29"/>
        </w:rPr>
        <w:t xml:space="preserve">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评标委员会根据通过初步评审按评审的投标人的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eastAsia="zh-CN"/>
        </w:rPr>
        <w:t>底</w:t>
      </w:r>
      <w:r>
        <w:rPr>
          <w:rFonts w:hint="eastAsia" w:ascii="宋体" w:hAnsi="宋体" w:eastAsia="宋体" w:cs="宋体"/>
          <w:color w:val="000000"/>
          <w:kern w:val="0"/>
          <w:sz w:val="24"/>
          <w:szCs w:val="24"/>
        </w:rPr>
        <w:t>到</w:t>
      </w:r>
      <w:r>
        <w:rPr>
          <w:rFonts w:hint="eastAsia" w:ascii="宋体" w:hAnsi="宋体" w:eastAsia="宋体" w:cs="宋体"/>
          <w:color w:val="000000"/>
          <w:kern w:val="0"/>
          <w:sz w:val="24"/>
          <w:szCs w:val="24"/>
          <w:lang w:eastAsia="zh-CN"/>
        </w:rPr>
        <w:t>高</w:t>
      </w:r>
      <w:r>
        <w:rPr>
          <w:rFonts w:hint="eastAsia" w:ascii="宋体" w:hAnsi="宋体" w:eastAsia="宋体" w:cs="宋体"/>
          <w:color w:val="000000"/>
          <w:kern w:val="0"/>
          <w:sz w:val="24"/>
          <w:szCs w:val="24"/>
        </w:rPr>
        <w:t>顺序依次推荐 1-3 名中标候选人。当出现多家投标人的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相同时，以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确定中标人，若</w:t>
      </w:r>
      <w:r>
        <w:rPr>
          <w:rFonts w:hint="eastAsia" w:ascii="宋体" w:hAnsi="宋体" w:eastAsia="宋体" w:cs="宋体"/>
          <w:color w:val="000000"/>
          <w:kern w:val="0"/>
          <w:sz w:val="24"/>
          <w:szCs w:val="24"/>
        </w:rPr>
        <w:t>还相同的，评标委员会采用随机抽取方法确定排名顺序。</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评标</w:t>
      </w:r>
      <w:r>
        <w:rPr>
          <w:rFonts w:hint="eastAsia" w:ascii="宋体" w:hAnsi="宋体" w:eastAsia="宋体" w:cs="宋体"/>
          <w:color w:val="000000"/>
          <w:kern w:val="0"/>
          <w:szCs w:val="21"/>
        </w:rPr>
        <w:t xml:space="preserve">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投标报价</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投标</w:t>
      </w:r>
      <w:r>
        <w:rPr>
          <w:rFonts w:hint="eastAsia" w:ascii="宋体" w:hAnsi="宋体" w:eastAsia="宋体" w:cs="宋体"/>
          <w:color w:val="000000"/>
          <w:kern w:val="0"/>
          <w:szCs w:val="21"/>
        </w:rPr>
        <w:t xml:space="preserve">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1、</w:t>
      </w:r>
      <w:r>
        <w:rPr>
          <w:rFonts w:hint="eastAsia" w:ascii="宋体" w:hAnsi="宋体" w:eastAsia="宋体" w:cs="宋体"/>
          <w:sz w:val="24"/>
          <w:szCs w:val="24"/>
          <w:lang w:val="en-US" w:eastAsia="zh-CN"/>
        </w:rPr>
        <w:t>供应商的报价确定按砼标号以合理低价报单价，报价低的优于报价高的来确定。（即报价单位中6个标号最低单价且同等情况水泥跌XXX元/吨，混凝土每立方下调的最多，为最终确定的供应商的报价的排名。）</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r>
        <w:rPr>
          <w:rFonts w:hint="eastAsia" w:ascii="宋体" w:hAnsi="宋体" w:eastAsia="宋体" w:cs="宋体"/>
          <w:kern w:val="0"/>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供应商需承诺前期垫资15000m³混凝土货款，否则做废标处理，在此基础上</w:t>
      </w:r>
      <w:r>
        <w:rPr>
          <w:rFonts w:hint="eastAsia" w:ascii="宋体" w:hAnsi="宋体" w:eastAsia="宋体" w:cs="宋体"/>
          <w:color w:val="000000"/>
          <w:sz w:val="24"/>
          <w:szCs w:val="24"/>
          <w:lang w:eastAsia="zh-CN"/>
        </w:rPr>
        <w:t>每</w:t>
      </w:r>
      <w:r>
        <w:rPr>
          <w:rFonts w:hint="eastAsia" w:ascii="宋体" w:hAnsi="宋体" w:eastAsia="宋体" w:cs="宋体"/>
          <w:sz w:val="24"/>
          <w:szCs w:val="24"/>
          <w:lang w:val="en-US" w:eastAsia="zh-CN"/>
        </w:rPr>
        <w:t>承诺前期垫资</w:t>
      </w:r>
      <w:r>
        <w:rPr>
          <w:rFonts w:hint="eastAsia" w:ascii="宋体" w:hAnsi="宋体" w:eastAsia="宋体" w:cs="宋体"/>
          <w:color w:val="000000"/>
          <w:sz w:val="24"/>
          <w:szCs w:val="24"/>
          <w:lang w:eastAsia="zh-CN"/>
        </w:rPr>
        <w:t>增加</w:t>
      </w:r>
      <w:r>
        <w:rPr>
          <w:rFonts w:hint="eastAsia" w:ascii="宋体" w:hAnsi="宋体" w:eastAsia="宋体" w:cs="宋体"/>
          <w:sz w:val="24"/>
          <w:szCs w:val="24"/>
          <w:lang w:val="en-US" w:eastAsia="zh-CN"/>
        </w:rPr>
        <w:t>混凝土货款，</w:t>
      </w:r>
      <w:r>
        <w:rPr>
          <w:rFonts w:hint="eastAsia" w:ascii="宋体" w:hAnsi="宋体" w:eastAsia="宋体" w:cs="宋体"/>
          <w:color w:val="000000"/>
          <w:kern w:val="0"/>
          <w:sz w:val="24"/>
          <w:szCs w:val="24"/>
        </w:rPr>
        <w:t>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lang w:val="en-US"/>
        </w:rPr>
      </w:pPr>
    </w:p>
    <w:p>
      <w:pPr>
        <w:rPr>
          <w:rFonts w:hint="eastAsia"/>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02"/>
        <w:widowControl w:val="0"/>
        <w:spacing w:before="0" w:beforeAutospacing="0" w:after="0" w:afterAutospacing="0" w:line="550" w:lineRule="exact"/>
        <w:ind w:firstLine="442" w:firstLineChars="200"/>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表一、资格评审标准</w:t>
      </w:r>
    </w:p>
    <w:p>
      <w:pPr>
        <w:spacing w:line="550" w:lineRule="exact"/>
        <w:rPr>
          <w:rFonts w:hint="eastAsia" w:asciiTheme="minorEastAsia" w:hAnsiTheme="minorEastAsia" w:eastAsiaTheme="minorEastAsia" w:cstheme="minorEastAsia"/>
          <w:color w:val="000000"/>
          <w:sz w:val="22"/>
          <w:szCs w:val="22"/>
          <w:u w:val="double"/>
        </w:rPr>
      </w:pPr>
      <w:r>
        <w:rPr>
          <w:rFonts w:hint="eastAsia" w:asciiTheme="minorEastAsia" w:hAnsiTheme="minorEastAsia" w:eastAsiaTheme="minorEastAsia" w:cstheme="minorEastAsia"/>
          <w:color w:val="000000"/>
          <w:sz w:val="22"/>
          <w:szCs w:val="22"/>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评审名称</w:t>
            </w:r>
          </w:p>
        </w:tc>
        <w:tc>
          <w:tcPr>
            <w:tcW w:w="3372" w:type="dxa"/>
            <w:gridSpan w:val="2"/>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评审因素</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评审标准</w:t>
            </w:r>
          </w:p>
        </w:tc>
        <w:tc>
          <w:tcPr>
            <w:tcW w:w="1144"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资格评</w:t>
            </w:r>
          </w:p>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审标准</w:t>
            </w: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资格要求</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营业执照</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具备有效的营业执照</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安全生产许可证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具备有效的安全生产许可证（如有）</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法人授权委托书、被授权人身份证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eastAsia="zh-CN" w:bidi="ar-SA"/>
              </w:rPr>
            </w:pPr>
            <w:r>
              <w:rPr>
                <w:rFonts w:hint="eastAsia" w:asciiTheme="minorEastAsia" w:hAnsiTheme="minorEastAsia" w:eastAsiaTheme="minorEastAsia" w:cstheme="minorEastAsia"/>
                <w:color w:val="000000"/>
                <w:sz w:val="22"/>
                <w:szCs w:val="22"/>
                <w:lang w:eastAsia="zh-CN" w:bidi="ar-SA"/>
              </w:rPr>
              <w:t>企业资质证书</w:t>
            </w:r>
          </w:p>
        </w:tc>
        <w:tc>
          <w:tcPr>
            <w:tcW w:w="3860" w:type="dxa"/>
            <w:noWrap w:val="0"/>
            <w:vAlign w:val="center"/>
          </w:tcPr>
          <w:p>
            <w:pPr>
              <w:spacing w:line="550" w:lineRule="exact"/>
              <w:jc w:val="center"/>
              <w:rPr>
                <w:rFonts w:hint="eastAsia" w:asciiTheme="minorEastAsia" w:hAnsiTheme="minorEastAsia" w:eastAsiaTheme="minorEastAsia" w:cstheme="minorEastAsia"/>
                <w:b/>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909" w:type="dxa"/>
            <w:noWrap w:val="0"/>
            <w:vAlign w:val="top"/>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其他要求（如有）</w:t>
            </w:r>
          </w:p>
        </w:tc>
        <w:tc>
          <w:tcPr>
            <w:tcW w:w="3860" w:type="dxa"/>
            <w:noWrap w:val="0"/>
            <w:vAlign w:val="center"/>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bl>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ermStart w:id="0" w:edGrp="everyone"/>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r>
        <w:rPr>
          <w:rFonts w:hint="eastAsia" w:asciiTheme="minorEastAsia" w:hAnsiTheme="minorEastAsia" w:eastAsiaTheme="minorEastAsia" w:cstheme="minorEastAsia"/>
          <w:b/>
          <w:bCs/>
          <w:color w:val="000000"/>
          <w:sz w:val="22"/>
          <w:szCs w:val="22"/>
          <w:highlight w:val="none"/>
          <w:u w:val="double"/>
          <w:lang w:eastAsia="zh-CN"/>
        </w:rPr>
        <w:t>综合评标法</w:t>
      </w:r>
      <w:r>
        <w:rPr>
          <w:rFonts w:hint="eastAsia" w:asciiTheme="minorEastAsia" w:hAnsiTheme="minorEastAsia" w:eastAsiaTheme="minorEastAsia" w:cstheme="minorEastAsia"/>
          <w:b/>
          <w:bCs/>
          <w:color w:val="000000"/>
          <w:sz w:val="22"/>
          <w:szCs w:val="22"/>
          <w:highlight w:val="none"/>
          <w:u w:val="double"/>
        </w:rPr>
        <w:t>）</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综合评标法评审标准</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44"/>
          <w:szCs w:val="44"/>
          <w:lang w:val="en-US" w:eastAsia="zh-CN"/>
        </w:rPr>
      </w:pPr>
      <w:r>
        <w:rPr>
          <w:rFonts w:hint="eastAsia" w:asciiTheme="majorEastAsia" w:hAnsiTheme="majorEastAsia" w:eastAsiaTheme="majorEastAsia" w:cstheme="majorEastAsia"/>
          <w:b w:val="0"/>
          <w:bCs w:val="0"/>
          <w:i w:val="0"/>
          <w:iCs w:val="0"/>
          <w:caps w:val="0"/>
          <w:color w:val="4E4E4E"/>
          <w:spacing w:val="0"/>
          <w:sz w:val="44"/>
          <w:szCs w:val="44"/>
          <w:shd w:val="clear" w:fill="FFFFFF"/>
        </w:rPr>
        <w:t>安徽省宁国市G329小汪村及梅林段一级公路改建工程</w:t>
      </w:r>
      <w:r>
        <w:rPr>
          <w:rFonts w:hint="eastAsia" w:asciiTheme="majorEastAsia" w:hAnsiTheme="majorEastAsia" w:eastAsiaTheme="majorEastAsia" w:cstheme="majorEastAsia"/>
          <w:b w:val="0"/>
          <w:bCs w:val="0"/>
          <w:i w:val="0"/>
          <w:iCs w:val="0"/>
          <w:caps w:val="0"/>
          <w:color w:val="4E4E4E"/>
          <w:spacing w:val="0"/>
          <w:sz w:val="44"/>
          <w:szCs w:val="44"/>
          <w:shd w:val="clear" w:fill="FFFFFF"/>
          <w:lang w:eastAsia="zh-CN"/>
        </w:rPr>
        <w:t>一标段混凝土采购</w:t>
      </w:r>
    </w:p>
    <w:p>
      <w:pPr>
        <w:keepNext w:val="0"/>
        <w:keepLines w:val="0"/>
        <w:widowControl/>
        <w:suppressLineNumbers w:val="0"/>
        <w:jc w:val="center"/>
        <w:rPr>
          <w:rFonts w:hint="eastAsia" w:asciiTheme="majorEastAsia" w:hAnsiTheme="majorEastAsia" w:eastAsiaTheme="majorEastAsia" w:cstheme="majorEastAsia"/>
          <w:b w:val="0"/>
          <w:bCs w:val="0"/>
          <w:color w:val="auto"/>
          <w:spacing w:val="37"/>
          <w:sz w:val="44"/>
          <w:szCs w:val="44"/>
          <w:lang w:val="en-US" w:eastAsia="zh-CN"/>
        </w:rPr>
      </w:pP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val="en-US" w:eastAsia="zh-CN"/>
        </w:rPr>
        <w:t>C15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C40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5792"/>
      <w:bookmarkStart w:id="31" w:name="_Toc247085878"/>
      <w:bookmarkStart w:id="32" w:name="_Toc152042581"/>
      <w:bookmarkStart w:id="33" w:name="_Toc144974861"/>
      <w:bookmarkStart w:id="34" w:name="_Toc246997103"/>
      <w:bookmarkStart w:id="35" w:name="_Toc329851856"/>
      <w:bookmarkStart w:id="36" w:name="_Toc179632812"/>
      <w:bookmarkStart w:id="37" w:name="_Toc246996360"/>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pStyle w:val="2"/>
        <w:rPr>
          <w:rFonts w:hint="eastAsia"/>
          <w:lang w:eastAsia="zh-CN"/>
        </w:rPr>
      </w:pPr>
    </w:p>
    <w:tbl>
      <w:tblPr>
        <w:tblStyle w:val="42"/>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995"/>
        <w:gridCol w:w="1756"/>
        <w:gridCol w:w="1080"/>
        <w:gridCol w:w="1018"/>
        <w:gridCol w:w="1316"/>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规格等级（泵送）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数量(m3)(暂定)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326.63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10293.35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18344.5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1575.61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ind w:firstLine="320" w:firstLineChars="100"/>
        <w:rPr>
          <w:rFonts w:hint="default"/>
          <w:lang w:val="en-US" w:eastAsia="zh-CN"/>
        </w:rPr>
      </w:pPr>
      <w:r>
        <w:rPr>
          <w:rFonts w:hint="eastAsia" w:asciiTheme="minorEastAsia" w:hAnsiTheme="minorEastAsia" w:eastAsiaTheme="minorEastAsia" w:cstheme="minorEastAsia"/>
          <w:b w:val="0"/>
          <w:bCs w:val="0"/>
          <w:sz w:val="32"/>
          <w:szCs w:val="32"/>
          <w:lang w:val="en-US" w:eastAsia="zh-CN"/>
        </w:rPr>
        <w:t>4、</w:t>
      </w:r>
      <w:r>
        <w:rPr>
          <w:rFonts w:hint="eastAsia" w:ascii="宋体" w:hAnsi="宋体" w:eastAsia="宋体" w:cs="宋体"/>
          <w:sz w:val="32"/>
          <w:szCs w:val="32"/>
          <w:lang w:val="en-US" w:eastAsia="zh-CN"/>
        </w:rPr>
        <w:t>前期垫资混凝土货款的承诺函</w:t>
      </w:r>
      <w:r>
        <w:rPr>
          <w:rFonts w:hint="eastAsia" w:asciiTheme="minorEastAsia" w:hAnsiTheme="minorEastAsia" w:eastAsiaTheme="minorEastAsia" w:cstheme="minorEastAsia"/>
          <w:b w:val="0"/>
          <w:bCs w:val="0"/>
          <w:sz w:val="32"/>
          <w:szCs w:val="32"/>
          <w:lang w:val="en-US" w:eastAsia="zh-CN"/>
        </w:rPr>
        <w:t>（格式自理）</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D948D9-A1CE-4C50-9858-99461E1281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34B05B-B4BF-46DF-A9D2-09AA6E352A4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8E3549C-39EC-461A-AD60-84909AEA27F8}"/>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D2D93041-B37A-43CC-A63E-891B55DA38B8}"/>
  </w:font>
  <w:font w:name="微软雅黑">
    <w:panose1 w:val="020B0503020204020204"/>
    <w:charset w:val="86"/>
    <w:family w:val="auto"/>
    <w:pitch w:val="default"/>
    <w:sig w:usb0="80000287" w:usb1="280F3C52" w:usb2="00000016" w:usb3="00000000" w:csb0="0004001F" w:csb1="00000000"/>
    <w:embedRegular r:id="rId5" w:fontKey="{719BD537-BE29-44EB-B583-125BC958C48B}"/>
  </w:font>
  <w:font w:name="Wingdings 2">
    <w:panose1 w:val="05020102010507070707"/>
    <w:charset w:val="02"/>
    <w:family w:val="auto"/>
    <w:pitch w:val="default"/>
    <w:sig w:usb0="00000000" w:usb1="00000000" w:usb2="00000000" w:usb3="00000000" w:csb0="80000000" w:csb1="00000000"/>
    <w:embedRegular r:id="rId6" w:fontKey="{143F4CB8-98A6-43A2-8367-356C2C0B479C}"/>
  </w:font>
  <w:font w:name="仿宋">
    <w:panose1 w:val="02010609060101010101"/>
    <w:charset w:val="86"/>
    <w:family w:val="auto"/>
    <w:pitch w:val="default"/>
    <w:sig w:usb0="800002BF" w:usb1="38CF7CFA" w:usb2="00000016" w:usb3="00000000" w:csb0="00040001" w:csb1="00000000"/>
    <w:embedRegular r:id="rId7" w:fontKey="{E0B7143D-8D59-4056-8BF6-F0A043C2C205}"/>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C410C554"/>
    <w:multiLevelType w:val="singleLevel"/>
    <w:tmpl w:val="C410C554"/>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53557F"/>
    <w:rsid w:val="038F1724"/>
    <w:rsid w:val="03C70711"/>
    <w:rsid w:val="043D60CC"/>
    <w:rsid w:val="045262AF"/>
    <w:rsid w:val="04685C0F"/>
    <w:rsid w:val="04E150B9"/>
    <w:rsid w:val="058F76A9"/>
    <w:rsid w:val="0644168A"/>
    <w:rsid w:val="065C6392"/>
    <w:rsid w:val="065C7A1D"/>
    <w:rsid w:val="06BC2E1B"/>
    <w:rsid w:val="0737309F"/>
    <w:rsid w:val="07CD1375"/>
    <w:rsid w:val="08017B21"/>
    <w:rsid w:val="08514B8D"/>
    <w:rsid w:val="08C640F8"/>
    <w:rsid w:val="09030699"/>
    <w:rsid w:val="096D52D2"/>
    <w:rsid w:val="09815E0C"/>
    <w:rsid w:val="09887C5F"/>
    <w:rsid w:val="09A70C71"/>
    <w:rsid w:val="0A051F93"/>
    <w:rsid w:val="0A36560E"/>
    <w:rsid w:val="0A527310"/>
    <w:rsid w:val="0A8729A8"/>
    <w:rsid w:val="0AA7399A"/>
    <w:rsid w:val="0B207C60"/>
    <w:rsid w:val="0C7845D5"/>
    <w:rsid w:val="0C8D24D0"/>
    <w:rsid w:val="0DC3667D"/>
    <w:rsid w:val="0DD360E4"/>
    <w:rsid w:val="0EA726DD"/>
    <w:rsid w:val="0F5840E0"/>
    <w:rsid w:val="0FCE6636"/>
    <w:rsid w:val="0FE17CA4"/>
    <w:rsid w:val="10101691"/>
    <w:rsid w:val="11540953"/>
    <w:rsid w:val="117D753F"/>
    <w:rsid w:val="11B979C0"/>
    <w:rsid w:val="11C5043F"/>
    <w:rsid w:val="11D05E7E"/>
    <w:rsid w:val="11DD4FBA"/>
    <w:rsid w:val="12032D4C"/>
    <w:rsid w:val="1298380F"/>
    <w:rsid w:val="129C6CE6"/>
    <w:rsid w:val="14C74196"/>
    <w:rsid w:val="1506057B"/>
    <w:rsid w:val="1605006D"/>
    <w:rsid w:val="16BB23DA"/>
    <w:rsid w:val="18005C93"/>
    <w:rsid w:val="19181CAB"/>
    <w:rsid w:val="194239A5"/>
    <w:rsid w:val="19667165"/>
    <w:rsid w:val="19AA4083"/>
    <w:rsid w:val="1A7E28C3"/>
    <w:rsid w:val="1A9E3253"/>
    <w:rsid w:val="1AEE0EEF"/>
    <w:rsid w:val="1BC25A57"/>
    <w:rsid w:val="1C2905D9"/>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163FA1"/>
    <w:rsid w:val="212073F8"/>
    <w:rsid w:val="213C2F0F"/>
    <w:rsid w:val="21512370"/>
    <w:rsid w:val="225713E5"/>
    <w:rsid w:val="22ED3308"/>
    <w:rsid w:val="233B3CA0"/>
    <w:rsid w:val="23923F3A"/>
    <w:rsid w:val="23B27078"/>
    <w:rsid w:val="245D570E"/>
    <w:rsid w:val="257912FA"/>
    <w:rsid w:val="25DC5FA2"/>
    <w:rsid w:val="269A4A2E"/>
    <w:rsid w:val="26C03072"/>
    <w:rsid w:val="26D02619"/>
    <w:rsid w:val="26E60319"/>
    <w:rsid w:val="275D01BF"/>
    <w:rsid w:val="278A65AC"/>
    <w:rsid w:val="27D45E99"/>
    <w:rsid w:val="27EF3454"/>
    <w:rsid w:val="28030FCC"/>
    <w:rsid w:val="2812532E"/>
    <w:rsid w:val="28225715"/>
    <w:rsid w:val="2825219C"/>
    <w:rsid w:val="28EF0C2A"/>
    <w:rsid w:val="2910697B"/>
    <w:rsid w:val="29565AC1"/>
    <w:rsid w:val="29BB284D"/>
    <w:rsid w:val="29C9798D"/>
    <w:rsid w:val="29EB65EB"/>
    <w:rsid w:val="29EF0AA3"/>
    <w:rsid w:val="2AD665EE"/>
    <w:rsid w:val="2AE241BF"/>
    <w:rsid w:val="2B435EC3"/>
    <w:rsid w:val="2C067E81"/>
    <w:rsid w:val="2D030AE6"/>
    <w:rsid w:val="2EF967AD"/>
    <w:rsid w:val="2F0D7245"/>
    <w:rsid w:val="2F1E3F9D"/>
    <w:rsid w:val="2F7549E3"/>
    <w:rsid w:val="2FA05E71"/>
    <w:rsid w:val="2FDB1854"/>
    <w:rsid w:val="30A0408F"/>
    <w:rsid w:val="30B47766"/>
    <w:rsid w:val="312F15F9"/>
    <w:rsid w:val="31D8371B"/>
    <w:rsid w:val="329C70A3"/>
    <w:rsid w:val="32D21971"/>
    <w:rsid w:val="330F7774"/>
    <w:rsid w:val="334A32AB"/>
    <w:rsid w:val="335637F5"/>
    <w:rsid w:val="33811C82"/>
    <w:rsid w:val="339430F0"/>
    <w:rsid w:val="33A107AE"/>
    <w:rsid w:val="33F86624"/>
    <w:rsid w:val="356F1790"/>
    <w:rsid w:val="35B33F01"/>
    <w:rsid w:val="360A7945"/>
    <w:rsid w:val="367019CA"/>
    <w:rsid w:val="37C16E80"/>
    <w:rsid w:val="38253EBC"/>
    <w:rsid w:val="38800888"/>
    <w:rsid w:val="389C03BD"/>
    <w:rsid w:val="39D97D59"/>
    <w:rsid w:val="3A0B6C49"/>
    <w:rsid w:val="3A350E77"/>
    <w:rsid w:val="3A83183F"/>
    <w:rsid w:val="3B034672"/>
    <w:rsid w:val="3B806E1C"/>
    <w:rsid w:val="3BD02B46"/>
    <w:rsid w:val="3C522566"/>
    <w:rsid w:val="3CB1082D"/>
    <w:rsid w:val="3D0A329B"/>
    <w:rsid w:val="3D141F11"/>
    <w:rsid w:val="3D214E10"/>
    <w:rsid w:val="3EF47E87"/>
    <w:rsid w:val="3EFF47FC"/>
    <w:rsid w:val="3F380FAB"/>
    <w:rsid w:val="3F7706C0"/>
    <w:rsid w:val="3FB61D1E"/>
    <w:rsid w:val="3FF46061"/>
    <w:rsid w:val="4037522A"/>
    <w:rsid w:val="40CE5F26"/>
    <w:rsid w:val="40E87269"/>
    <w:rsid w:val="412D3E26"/>
    <w:rsid w:val="41A63F34"/>
    <w:rsid w:val="436C5E2D"/>
    <w:rsid w:val="437E6A5B"/>
    <w:rsid w:val="43AF585B"/>
    <w:rsid w:val="442067EF"/>
    <w:rsid w:val="44233468"/>
    <w:rsid w:val="45607BB1"/>
    <w:rsid w:val="45B927DD"/>
    <w:rsid w:val="45CB4380"/>
    <w:rsid w:val="469F0A9E"/>
    <w:rsid w:val="46BA36E0"/>
    <w:rsid w:val="47827AE0"/>
    <w:rsid w:val="4805206A"/>
    <w:rsid w:val="48CF5C36"/>
    <w:rsid w:val="49F75108"/>
    <w:rsid w:val="4A621CD0"/>
    <w:rsid w:val="4AD16791"/>
    <w:rsid w:val="4B0A3A73"/>
    <w:rsid w:val="4B1C0CA8"/>
    <w:rsid w:val="4B5B288F"/>
    <w:rsid w:val="4B5C6F5D"/>
    <w:rsid w:val="4BE66994"/>
    <w:rsid w:val="4C0250F8"/>
    <w:rsid w:val="4C0E1C7B"/>
    <w:rsid w:val="4C3363A1"/>
    <w:rsid w:val="4C556E4C"/>
    <w:rsid w:val="4C9A3F50"/>
    <w:rsid w:val="4CA143B6"/>
    <w:rsid w:val="4CD57624"/>
    <w:rsid w:val="4D0337BF"/>
    <w:rsid w:val="4D492011"/>
    <w:rsid w:val="4D563963"/>
    <w:rsid w:val="4D6F005D"/>
    <w:rsid w:val="4DC4669F"/>
    <w:rsid w:val="4DC95A8B"/>
    <w:rsid w:val="4DD359C4"/>
    <w:rsid w:val="4EA909ED"/>
    <w:rsid w:val="4EAD42C0"/>
    <w:rsid w:val="4F6A3135"/>
    <w:rsid w:val="4F7D6943"/>
    <w:rsid w:val="4F806125"/>
    <w:rsid w:val="4FC90AF6"/>
    <w:rsid w:val="4FF47B65"/>
    <w:rsid w:val="4FF71CFC"/>
    <w:rsid w:val="500D4DCD"/>
    <w:rsid w:val="508514D6"/>
    <w:rsid w:val="50DC0239"/>
    <w:rsid w:val="50F14121"/>
    <w:rsid w:val="51231DF2"/>
    <w:rsid w:val="51AE71F6"/>
    <w:rsid w:val="51D72CB1"/>
    <w:rsid w:val="529657D0"/>
    <w:rsid w:val="52D30F0B"/>
    <w:rsid w:val="53350847"/>
    <w:rsid w:val="541F02D1"/>
    <w:rsid w:val="5432541E"/>
    <w:rsid w:val="545B495D"/>
    <w:rsid w:val="54BE1E3F"/>
    <w:rsid w:val="54CC3A0C"/>
    <w:rsid w:val="54D658C5"/>
    <w:rsid w:val="555302BE"/>
    <w:rsid w:val="56D3497A"/>
    <w:rsid w:val="56EB61C5"/>
    <w:rsid w:val="571E57DC"/>
    <w:rsid w:val="5752344C"/>
    <w:rsid w:val="577D2021"/>
    <w:rsid w:val="578B5A25"/>
    <w:rsid w:val="57DC1D1C"/>
    <w:rsid w:val="58594DCC"/>
    <w:rsid w:val="58711B6E"/>
    <w:rsid w:val="58DB426C"/>
    <w:rsid w:val="58E1190D"/>
    <w:rsid w:val="58E4330E"/>
    <w:rsid w:val="58FF2585"/>
    <w:rsid w:val="592B5E3D"/>
    <w:rsid w:val="59A97119"/>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C2426F"/>
    <w:rsid w:val="5FC755A0"/>
    <w:rsid w:val="5FEB21EB"/>
    <w:rsid w:val="604D3E80"/>
    <w:rsid w:val="60807933"/>
    <w:rsid w:val="60B40B05"/>
    <w:rsid w:val="611E4F49"/>
    <w:rsid w:val="61DA1914"/>
    <w:rsid w:val="61DD5DF0"/>
    <w:rsid w:val="621E18D8"/>
    <w:rsid w:val="6252752E"/>
    <w:rsid w:val="62592108"/>
    <w:rsid w:val="627A50C0"/>
    <w:rsid w:val="62CE653B"/>
    <w:rsid w:val="63126C60"/>
    <w:rsid w:val="632B7B03"/>
    <w:rsid w:val="633F5689"/>
    <w:rsid w:val="64633954"/>
    <w:rsid w:val="64747F00"/>
    <w:rsid w:val="65260ECE"/>
    <w:rsid w:val="65622887"/>
    <w:rsid w:val="66DF07B8"/>
    <w:rsid w:val="671C07A9"/>
    <w:rsid w:val="67421BF9"/>
    <w:rsid w:val="67797EE9"/>
    <w:rsid w:val="67900263"/>
    <w:rsid w:val="682D6DC6"/>
    <w:rsid w:val="691B1349"/>
    <w:rsid w:val="69934A52"/>
    <w:rsid w:val="69E10F81"/>
    <w:rsid w:val="6A4C602D"/>
    <w:rsid w:val="6A5B2FB7"/>
    <w:rsid w:val="6B1306D6"/>
    <w:rsid w:val="6B282026"/>
    <w:rsid w:val="6B4F1E6C"/>
    <w:rsid w:val="6BA16DE0"/>
    <w:rsid w:val="6C021353"/>
    <w:rsid w:val="6C195B2B"/>
    <w:rsid w:val="6C2B259B"/>
    <w:rsid w:val="6C3E2EE3"/>
    <w:rsid w:val="6CC2052E"/>
    <w:rsid w:val="6CD7098F"/>
    <w:rsid w:val="6CFB485A"/>
    <w:rsid w:val="6D1861A7"/>
    <w:rsid w:val="6DBF0F93"/>
    <w:rsid w:val="6E32177C"/>
    <w:rsid w:val="6E5339CF"/>
    <w:rsid w:val="6F920654"/>
    <w:rsid w:val="6FBC0729"/>
    <w:rsid w:val="6FFA48E0"/>
    <w:rsid w:val="701B06CF"/>
    <w:rsid w:val="704049C6"/>
    <w:rsid w:val="706A7393"/>
    <w:rsid w:val="7109160D"/>
    <w:rsid w:val="71525EA2"/>
    <w:rsid w:val="715C163A"/>
    <w:rsid w:val="72103F6C"/>
    <w:rsid w:val="721065DD"/>
    <w:rsid w:val="726374E1"/>
    <w:rsid w:val="7285482C"/>
    <w:rsid w:val="735E6C99"/>
    <w:rsid w:val="73696082"/>
    <w:rsid w:val="739419D4"/>
    <w:rsid w:val="73FF7E83"/>
    <w:rsid w:val="7478091A"/>
    <w:rsid w:val="754B3A1B"/>
    <w:rsid w:val="75796B20"/>
    <w:rsid w:val="759210D0"/>
    <w:rsid w:val="759F5B15"/>
    <w:rsid w:val="75C86701"/>
    <w:rsid w:val="75FC4E22"/>
    <w:rsid w:val="76065718"/>
    <w:rsid w:val="76EA2BA7"/>
    <w:rsid w:val="773436D4"/>
    <w:rsid w:val="77E20418"/>
    <w:rsid w:val="78041D69"/>
    <w:rsid w:val="78833EFA"/>
    <w:rsid w:val="790F2350"/>
    <w:rsid w:val="79BA116F"/>
    <w:rsid w:val="79EE0C57"/>
    <w:rsid w:val="79F86622"/>
    <w:rsid w:val="7A112136"/>
    <w:rsid w:val="7A956099"/>
    <w:rsid w:val="7B497C36"/>
    <w:rsid w:val="7B6503BE"/>
    <w:rsid w:val="7B7870BD"/>
    <w:rsid w:val="7C1E2A06"/>
    <w:rsid w:val="7C520487"/>
    <w:rsid w:val="7D233B80"/>
    <w:rsid w:val="7D845FBE"/>
    <w:rsid w:val="7E0E1C67"/>
    <w:rsid w:val="7E326AEE"/>
    <w:rsid w:val="7EA22D23"/>
    <w:rsid w:val="7EEF0F1E"/>
    <w:rsid w:val="7EFB055C"/>
    <w:rsid w:val="7F0561F0"/>
    <w:rsid w:val="7F0943A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4522</Words>
  <Characters>4972</Characters>
  <Lines>164</Lines>
  <Paragraphs>46</Paragraphs>
  <TotalTime>9</TotalTime>
  <ScaleCrop>false</ScaleCrop>
  <LinksUpToDate>false</LinksUpToDate>
  <CharactersWithSpaces>6203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2023-07-03T23:58:00Z</cp:lastPrinted>
  <dcterms:modified xsi:type="dcterms:W3CDTF">2023-07-04T06:40:37Z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D363D87CB1BA409E965B552B9BCE3166_13</vt:lpwstr>
  </property>
</Properties>
</file>