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w:t>
      </w:r>
      <w:r>
        <w:rPr>
          <w:rFonts w:hint="eastAsia" w:hAnsi="宋体" w:eastAsia="华文中宋" w:cs="宋体"/>
          <w:b w:val="0"/>
          <w:bCs/>
          <w:color w:val="auto"/>
          <w:spacing w:val="37"/>
          <w:sz w:val="36"/>
          <w:szCs w:val="36"/>
          <w:lang w:val="en-US" w:eastAsia="zh-CN"/>
        </w:rPr>
        <w:t>消防</w:t>
      </w:r>
      <w:r>
        <w:rPr>
          <w:rFonts w:hint="eastAsia" w:hAnsi="宋体" w:eastAsia="华文中宋" w:cs="宋体"/>
          <w:b w:val="0"/>
          <w:bCs/>
          <w:color w:val="auto"/>
          <w:spacing w:val="37"/>
          <w:sz w:val="36"/>
          <w:szCs w:val="36"/>
          <w:lang w:eastAsia="zh-CN"/>
        </w:rPr>
        <w:t>专业分包</w:t>
      </w:r>
      <w:bookmarkStart w:id="46" w:name="_GoBack"/>
      <w:bookmarkEnd w:id="46"/>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项目编号：AHJT-2023-03-013</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2023年03月14日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安徽省宁国市河沥文化街区EPC项目建设工程消防专业分包</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46996910"/>
      <w:bookmarkStart w:id="1" w:name="_Toc152042296"/>
      <w:bookmarkStart w:id="2" w:name="_Toc179632537"/>
      <w:bookmarkStart w:id="3" w:name="_Toc247085681"/>
      <w:bookmarkStart w:id="4" w:name="_Toc246996167"/>
      <w:bookmarkStart w:id="5" w:name="_Toc144974488"/>
      <w:bookmarkStart w:id="6" w:name="_Toc296602411"/>
      <w:bookmarkStart w:id="7" w:name="_Toc152045520"/>
      <w:bookmarkStart w:id="8" w:name="_Toc144974482"/>
      <w:bookmarkStart w:id="9" w:name="_Toc329851755"/>
      <w:bookmarkStart w:id="10" w:name="_Toc246996160"/>
      <w:bookmarkStart w:id="11" w:name="_Toc179632530"/>
      <w:bookmarkStart w:id="12" w:name="_Toc152045514"/>
      <w:bookmarkStart w:id="13" w:name="_Toc152042290"/>
      <w:bookmarkStart w:id="14" w:name="_Toc247085674"/>
      <w:bookmarkStart w:id="15" w:name="_Toc246996903"/>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lang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安徽省宁国市河沥文化街区EPC项目建设工程消防专业分包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013</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除联合体投标单位古建工程量外安徽津腾建设工程有限公司承建的全部消防工程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eastAsia="zh-CN"/>
        </w:rPr>
        <w:t>本工程为</w:t>
      </w:r>
      <w:r>
        <w:rPr>
          <w:rFonts w:hint="eastAsia" w:ascii="宋体" w:hAnsi="宋体" w:cs="宋体"/>
          <w:sz w:val="24"/>
          <w:szCs w:val="24"/>
          <w:lang w:val="en-US" w:eastAsia="zh-CN"/>
        </w:rPr>
        <w:t>EPC项目，按图纸施工，按实际工程量计价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w:t>
      </w:r>
      <w:r>
        <w:rPr>
          <w:rFonts w:hint="eastAsia" w:ascii="宋体" w:hAnsi="宋体" w:cs="宋体"/>
          <w:sz w:val="24"/>
          <w:szCs w:val="24"/>
          <w:lang w:val="en-US" w:eastAsia="zh-CN"/>
        </w:rPr>
        <w:t>创黄山杯</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7085676"/>
      <w:bookmarkStart w:id="17" w:name="_Toc246996162"/>
      <w:bookmarkStart w:id="18" w:name="_Toc246996905"/>
      <w:bookmarkStart w:id="19" w:name="_Toc144974484"/>
      <w:bookmarkStart w:id="20" w:name="_Toc152045516"/>
      <w:bookmarkStart w:id="21" w:name="_Toc152042292"/>
      <w:bookmarkStart w:id="22" w:name="_Toc179632532"/>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2.1、投标人须为安徽津腾建设工程有限公司供应商信息库消防专业分包库企业。</w:t>
      </w:r>
    </w:p>
    <w:p>
      <w:pPr>
        <w:pStyle w:val="2"/>
        <w:rPr>
          <w:rFonts w:hint="eastAsia"/>
          <w:lang w:val="en-US" w:eastAsia="zh-CN"/>
        </w:rPr>
      </w:pPr>
      <w:r>
        <w:rPr>
          <w:rFonts w:hint="eastAsia" w:ascii="宋体" w:hAnsi="宋体" w:eastAsia="宋体" w:cs="宋体"/>
          <w:b w:val="0"/>
          <w:bCs w:val="0"/>
          <w:sz w:val="24"/>
          <w:szCs w:val="24"/>
          <w:lang w:val="en-US" w:eastAsia="zh-CN"/>
        </w:rPr>
        <w:t>2.2、投标人现场所有施工材料堆放、二次转运、管理自行考虑。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2023年03月</w:t>
      </w:r>
      <w:r>
        <w:rPr>
          <w:rFonts w:hint="eastAsia" w:ascii="宋体" w:hAnsi="宋体" w:eastAsia="宋体" w:cs="宋体"/>
          <w:color w:val="000000"/>
          <w:sz w:val="24"/>
          <w:szCs w:val="24"/>
          <w:u w:val="single"/>
          <w:lang w:val="en-US" w:eastAsia="zh-CN"/>
        </w:rPr>
        <w:t>17</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96602416"/>
      <w:bookmarkEnd w:id="23"/>
      <w:bookmarkStart w:id="24" w:name="_Toc246996915"/>
      <w:bookmarkEnd w:id="24"/>
      <w:bookmarkStart w:id="25" w:name="_Toc247085686"/>
      <w:bookmarkEnd w:id="25"/>
      <w:bookmarkStart w:id="26" w:name="_Toc179632542"/>
      <w:bookmarkEnd w:id="26"/>
      <w:bookmarkStart w:id="27" w:name="_Toc152045525"/>
      <w:bookmarkEnd w:id="27"/>
      <w:bookmarkStart w:id="28" w:name="_Toc246996172"/>
      <w:bookmarkEnd w:id="28"/>
      <w:bookmarkStart w:id="29" w:name="_Toc152042301"/>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2023年03月</w:t>
            </w:r>
            <w:r>
              <w:rPr>
                <w:rFonts w:hint="eastAsia" w:ascii="宋体" w:hAnsi="宋体" w:eastAsia="宋体" w:cs="宋体"/>
                <w:color w:val="000000"/>
                <w:sz w:val="23"/>
                <w:szCs w:val="23"/>
                <w:lang w:val="en-US" w:eastAsia="zh-CN"/>
              </w:rPr>
              <w:t>17</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0</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本工程按费率报价，最高折扣率为7</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履约担保金额：20万，竣工验收合格后一次性返还。</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按折扣率，结算按审计价*折扣率确定，投标折扣率不予调整。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7</w:t>
            </w:r>
            <w:r>
              <w:rPr>
                <w:rFonts w:hint="eastAsia" w:ascii="宋体" w:hAnsi="宋体" w:eastAsia="宋体" w:cs="宋体"/>
                <w:color w:val="auto"/>
                <w:spacing w:val="13"/>
                <w:sz w:val="24"/>
                <w:szCs w:val="24"/>
              </w:rPr>
              <w:t>0%,竣工验收</w:t>
            </w:r>
            <w:r>
              <w:rPr>
                <w:rFonts w:hint="eastAsia" w:ascii="宋体" w:hAnsi="宋体" w:eastAsia="宋体" w:cs="宋体"/>
                <w:color w:val="auto"/>
                <w:spacing w:val="13"/>
                <w:sz w:val="24"/>
                <w:szCs w:val="24"/>
                <w:lang w:eastAsia="zh-CN"/>
              </w:rPr>
              <w:t>合格</w:t>
            </w:r>
            <w:r>
              <w:rPr>
                <w:rFonts w:hint="eastAsia" w:ascii="宋体" w:hAnsi="宋体" w:eastAsia="宋体" w:cs="宋体"/>
                <w:color w:val="auto"/>
                <w:spacing w:val="13"/>
                <w:sz w:val="24"/>
                <w:szCs w:val="24"/>
              </w:rPr>
              <w:t>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12"/>
                <w:sz w:val="24"/>
                <w:szCs w:val="24"/>
                <w:lang w:val="en-US" w:eastAsia="zh-CN"/>
              </w:rPr>
              <w:t>3%质量保修金按总承包合同执行</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备注：1、现场所有施工材料堆放、二次转运、管理、自行考虑。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2、开具9%增值税专用发票。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96602437"/>
      <w:bookmarkStart w:id="31" w:name="_Toc144974515"/>
      <w:bookmarkStart w:id="32" w:name="_Toc246996192"/>
      <w:bookmarkStart w:id="33" w:name="_Toc246996935"/>
      <w:bookmarkStart w:id="34" w:name="_Toc179632565"/>
      <w:bookmarkStart w:id="35" w:name="_Toc152042323"/>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rPr>
          <w:rFonts w:hint="eastAsia"/>
        </w:rPr>
      </w:pPr>
    </w:p>
    <w:p>
      <w:pPr>
        <w:keepNext w:val="0"/>
        <w:keepLines w:val="0"/>
        <w:widowControl/>
        <w:suppressLineNumbers w:val="0"/>
        <w:ind w:firstLine="3450" w:firstLineChars="1500"/>
        <w:jc w:val="left"/>
      </w:pPr>
      <w:r>
        <w:rPr>
          <w:rFonts w:hint="eastAsia" w:ascii="仿宋" w:hAnsi="仿宋" w:eastAsia="仿宋" w:cs="仿宋"/>
          <w:b w:val="0"/>
          <w:bCs w:val="0"/>
          <w:color w:val="000000"/>
          <w:kern w:val="0"/>
          <w:sz w:val="23"/>
          <w:szCs w:val="23"/>
          <w:highlight w:val="none"/>
          <w:lang w:val="en-US" w:eastAsia="zh-CN" w:bidi="ar-SA"/>
        </w:rPr>
        <w:t xml:space="preserve">  </w:t>
      </w:r>
    </w:p>
    <w:p>
      <w:pPr>
        <w:widowControl/>
        <w:jc w:val="left"/>
        <w:rPr>
          <w:rFonts w:ascii="宋体" w:hAnsi="宋体" w:eastAsia="宋体" w:cs="宋体"/>
          <w:kern w:val="0"/>
          <w:sz w:val="24"/>
          <w:szCs w:val="24"/>
        </w:rPr>
      </w:pP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业绩需提供古建消防5年内业绩，合同额每100万加一分，最高3分，需提供合同、竣工验收报告、工程款支付发票，如发现弄虚作假，作为废标处理。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default"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仿宋" w:hAnsi="仿宋" w:eastAsia="仿宋" w:cs="仿宋"/>
          <w:b/>
          <w:bCs/>
          <w:color w:val="000000"/>
          <w:sz w:val="23"/>
          <w:szCs w:val="23"/>
          <w:highlight w:val="none"/>
          <w:u w:val="double"/>
          <w:lang w:eastAsia="zh-CN"/>
        </w:rPr>
        <w:t>综合评标法</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color w:val="000000"/>
          <w:sz w:val="23"/>
          <w:szCs w:val="23"/>
          <w:lang w:eastAsia="zh-CN"/>
        </w:rPr>
        <w:t>综合评分法</w:t>
      </w:r>
      <w:r>
        <w:rPr>
          <w:rFonts w:hint="eastAsia" w:ascii="仿宋" w:hAnsi="仿宋" w:eastAsia="仿宋" w:cs="仿宋"/>
          <w:b w:val="0"/>
          <w:bCs w:val="0"/>
          <w:color w:val="000000"/>
          <w:kern w:val="0"/>
          <w:sz w:val="23"/>
          <w:szCs w:val="23"/>
          <w:highlight w:val="none"/>
          <w:lang w:val="en-US" w:eastAsia="zh-CN" w:bidi="ar-SA"/>
        </w:rPr>
        <w:t>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ind w:left="3472" w:hanging="3472" w:hangingChars="800"/>
        <w:jc w:val="center"/>
        <w:textAlignment w:val="auto"/>
        <w:rPr>
          <w:rFonts w:hint="eastAsia" w:asciiTheme="minorEastAsia" w:hAnsiTheme="minorEastAsia" w:eastAsiaTheme="minorEastAsia" w:cstheme="minorEastAsia"/>
          <w:b w:val="0"/>
          <w:bCs/>
          <w:color w:val="auto"/>
          <w:spacing w:val="37"/>
          <w:sz w:val="36"/>
          <w:szCs w:val="36"/>
          <w:lang w:eastAsia="zh-CN"/>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w:t>
      </w:r>
    </w:p>
    <w:p>
      <w:pPr>
        <w:pStyle w:val="184"/>
        <w:keepNext w:val="0"/>
        <w:keepLines w:val="0"/>
        <w:pageBreakBefore w:val="0"/>
        <w:widowControl w:val="0"/>
        <w:kinsoku/>
        <w:wordWrap/>
        <w:overflowPunct/>
        <w:topLinePunct w:val="0"/>
        <w:autoSpaceDE/>
        <w:autoSpaceDN/>
        <w:bidi w:val="0"/>
        <w:adjustRightInd/>
        <w:snapToGrid/>
        <w:spacing w:line="360" w:lineRule="auto"/>
        <w:ind w:left="3271" w:leftChars="1363" w:firstLine="434" w:firstLineChars="100"/>
        <w:jc w:val="both"/>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消防专业分包</w:t>
      </w:r>
    </w:p>
    <w:p>
      <w:pPr>
        <w:pStyle w:val="2"/>
        <w:pageBreakBefore w:val="0"/>
        <w:widowControl w:val="0"/>
        <w:kinsoku/>
        <w:wordWrap/>
        <w:overflowPunct/>
        <w:topLinePunct w:val="0"/>
        <w:autoSpaceDE/>
        <w:autoSpaceDN/>
        <w:bidi w:val="0"/>
        <w:adjustRightInd/>
        <w:snapToGrid/>
        <w:spacing w:line="360" w:lineRule="auto"/>
        <w:textAlignment w:val="auto"/>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44974861"/>
      <w:bookmarkStart w:id="39" w:name="_Toc247085878"/>
      <w:bookmarkStart w:id="40" w:name="_Toc246997103"/>
      <w:bookmarkStart w:id="41" w:name="_Toc179632812"/>
      <w:bookmarkStart w:id="42" w:name="_Toc246996360"/>
      <w:bookmarkStart w:id="43" w:name="_Toc152045792"/>
      <w:bookmarkStart w:id="44" w:name="_Toc152042581"/>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安徽省宁国市河沥文化街区EPC项目建设工程消防</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448" w:firstLineChars="200"/>
        <w:rPr>
          <w:rFonts w:hint="eastAsia" w:ascii="宋体" w:hAnsi="宋体" w:eastAsia="宋体" w:cs="宋体"/>
          <w:color w:val="auto"/>
          <w:spacing w:val="-8"/>
          <w:sz w:val="24"/>
          <w:szCs w:val="30"/>
          <w:lang w:val="en-US" w:eastAsia="zh-CN"/>
        </w:rPr>
      </w:pPr>
    </w:p>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E2B370-22C2-4EA4-8C4C-1DBE1A4BD4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84E861-9D9C-4B73-B168-976C5A171D0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FFC766E-13CA-4185-B80F-67BC558502D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6422E0E1-6172-4A3D-82EB-0CCBF674EF02}"/>
  </w:font>
  <w:font w:name="Wingdings 2">
    <w:panose1 w:val="05020102010507070707"/>
    <w:charset w:val="02"/>
    <w:family w:val="auto"/>
    <w:pitch w:val="default"/>
    <w:sig w:usb0="00000000" w:usb1="00000000" w:usb2="00000000" w:usb3="00000000" w:csb0="80000000" w:csb1="00000000"/>
    <w:embedRegular r:id="rId5" w:fontKey="{83119BB4-1E7F-47F0-BB7F-47BEF21A9C52}"/>
  </w:font>
  <w:font w:name="仿宋">
    <w:panose1 w:val="02010609060101010101"/>
    <w:charset w:val="86"/>
    <w:family w:val="auto"/>
    <w:pitch w:val="default"/>
    <w:sig w:usb0="800002BF" w:usb1="38CF7CFA" w:usb2="00000016" w:usb3="00000000" w:csb0="00040001" w:csb1="00000000"/>
    <w:embedRegular r:id="rId6" w:fontKey="{855476C8-3935-4FAE-91E1-7E9EFFE3641F}"/>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160B6F"/>
    <w:rsid w:val="058F76A9"/>
    <w:rsid w:val="0644168A"/>
    <w:rsid w:val="06BC2E1B"/>
    <w:rsid w:val="0716183E"/>
    <w:rsid w:val="0737309F"/>
    <w:rsid w:val="07B42C38"/>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C6CE6"/>
    <w:rsid w:val="14C74196"/>
    <w:rsid w:val="1605006D"/>
    <w:rsid w:val="19181CAB"/>
    <w:rsid w:val="194239A5"/>
    <w:rsid w:val="19667165"/>
    <w:rsid w:val="19AA4083"/>
    <w:rsid w:val="1A7E28C3"/>
    <w:rsid w:val="1A9E3253"/>
    <w:rsid w:val="1BC25A57"/>
    <w:rsid w:val="1C7C5B27"/>
    <w:rsid w:val="1CEC7CF0"/>
    <w:rsid w:val="1DC1221D"/>
    <w:rsid w:val="1DEF7B3E"/>
    <w:rsid w:val="1E2A1B70"/>
    <w:rsid w:val="1E633EC0"/>
    <w:rsid w:val="1E7B23CC"/>
    <w:rsid w:val="1E845A30"/>
    <w:rsid w:val="1EBC079F"/>
    <w:rsid w:val="1F074516"/>
    <w:rsid w:val="1F6B3CB9"/>
    <w:rsid w:val="1F757D50"/>
    <w:rsid w:val="1FDC1A61"/>
    <w:rsid w:val="202F399B"/>
    <w:rsid w:val="20B11D22"/>
    <w:rsid w:val="21955B83"/>
    <w:rsid w:val="21E15675"/>
    <w:rsid w:val="225713E5"/>
    <w:rsid w:val="22ED3308"/>
    <w:rsid w:val="233B3CA0"/>
    <w:rsid w:val="23B27078"/>
    <w:rsid w:val="25DC5FA2"/>
    <w:rsid w:val="26C03072"/>
    <w:rsid w:val="26D02619"/>
    <w:rsid w:val="26E60319"/>
    <w:rsid w:val="27D45E99"/>
    <w:rsid w:val="2812532E"/>
    <w:rsid w:val="28225715"/>
    <w:rsid w:val="2825219C"/>
    <w:rsid w:val="28736DB5"/>
    <w:rsid w:val="2910697B"/>
    <w:rsid w:val="29C9798D"/>
    <w:rsid w:val="29EF0AA3"/>
    <w:rsid w:val="2AD665EE"/>
    <w:rsid w:val="2EF967AD"/>
    <w:rsid w:val="2F7549E3"/>
    <w:rsid w:val="302201B8"/>
    <w:rsid w:val="30B47766"/>
    <w:rsid w:val="312F15F9"/>
    <w:rsid w:val="31D8371B"/>
    <w:rsid w:val="32420807"/>
    <w:rsid w:val="32D21971"/>
    <w:rsid w:val="334A32AB"/>
    <w:rsid w:val="33811C82"/>
    <w:rsid w:val="339430F0"/>
    <w:rsid w:val="33A107AE"/>
    <w:rsid w:val="33F86624"/>
    <w:rsid w:val="356F1790"/>
    <w:rsid w:val="35B33F01"/>
    <w:rsid w:val="35F16ECF"/>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A896D70"/>
    <w:rsid w:val="4B0A3A73"/>
    <w:rsid w:val="4B1C0CA8"/>
    <w:rsid w:val="4B5B288F"/>
    <w:rsid w:val="4B5C6F5D"/>
    <w:rsid w:val="4C0250F8"/>
    <w:rsid w:val="4C0E1C7B"/>
    <w:rsid w:val="4C3363A1"/>
    <w:rsid w:val="4C9A3F50"/>
    <w:rsid w:val="4D492011"/>
    <w:rsid w:val="4D4B064D"/>
    <w:rsid w:val="4D563963"/>
    <w:rsid w:val="4D6F005D"/>
    <w:rsid w:val="4DC4669F"/>
    <w:rsid w:val="4DD359C4"/>
    <w:rsid w:val="4E3D728D"/>
    <w:rsid w:val="4F7D6943"/>
    <w:rsid w:val="4F806125"/>
    <w:rsid w:val="4FF47B65"/>
    <w:rsid w:val="4FF71CFC"/>
    <w:rsid w:val="50045450"/>
    <w:rsid w:val="500D4DCD"/>
    <w:rsid w:val="508514D6"/>
    <w:rsid w:val="50DC0239"/>
    <w:rsid w:val="50F14121"/>
    <w:rsid w:val="51AE71F6"/>
    <w:rsid w:val="51D72CB1"/>
    <w:rsid w:val="529657D0"/>
    <w:rsid w:val="52D30F0B"/>
    <w:rsid w:val="53350847"/>
    <w:rsid w:val="53F66C49"/>
    <w:rsid w:val="5432541E"/>
    <w:rsid w:val="54BE1E3F"/>
    <w:rsid w:val="54D658C5"/>
    <w:rsid w:val="55013D42"/>
    <w:rsid w:val="555302BE"/>
    <w:rsid w:val="56D3497A"/>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56B7C81"/>
    <w:rsid w:val="671C07A9"/>
    <w:rsid w:val="67421BF9"/>
    <w:rsid w:val="67900263"/>
    <w:rsid w:val="682D6DC6"/>
    <w:rsid w:val="691B1349"/>
    <w:rsid w:val="69934A52"/>
    <w:rsid w:val="69E10F81"/>
    <w:rsid w:val="6A4C602D"/>
    <w:rsid w:val="6ACC6C2C"/>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A22D23"/>
    <w:rsid w:val="7EB40597"/>
    <w:rsid w:val="7EFB055C"/>
    <w:rsid w:val="7F0561F0"/>
    <w:rsid w:val="7F872C34"/>
    <w:rsid w:val="7FD72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4116</Words>
  <Characters>4452</Characters>
  <Lines>164</Lines>
  <Paragraphs>46</Paragraphs>
  <TotalTime>14</TotalTime>
  <ScaleCrop>false</ScaleCrop>
  <LinksUpToDate>false</LinksUpToDate>
  <CharactersWithSpaces>5670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2023-03-14T00:35:00Z</cp:lastPrinted>
  <dcterms:modified xsi:type="dcterms:W3CDTF">2023-03-14T07:02:54Z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8B3224AA725248BAA9C8B2EBDCCAF4D9</vt:lpwstr>
  </property>
</Properties>
</file>