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34" w:firstLineChars="100"/>
        <w:jc w:val="center"/>
        <w:rPr>
          <w:rFonts w:hint="eastAsia" w:hAnsi="宋体" w:eastAsia="华文中宋" w:cs="宋体"/>
          <w:b w:val="0"/>
          <w:bCs/>
          <w:color w:val="auto"/>
          <w:spacing w:val="37"/>
          <w:sz w:val="36"/>
          <w:szCs w:val="36"/>
          <w:lang w:eastAsia="zh-CN"/>
        </w:rPr>
      </w:pPr>
      <w:r>
        <w:rPr>
          <w:rFonts w:hint="eastAsia" w:hAnsi="宋体" w:eastAsia="华文中宋" w:cs="宋体"/>
          <w:b w:val="0"/>
          <w:bCs/>
          <w:color w:val="auto"/>
          <w:spacing w:val="37"/>
          <w:sz w:val="36"/>
          <w:szCs w:val="36"/>
          <w:lang w:eastAsia="zh-CN"/>
        </w:rPr>
        <w:t>安徽省宁国市河沥文化街区EPC项目建设工程（管廊部分）钢筋工分包（第二次）</w:t>
      </w:r>
    </w:p>
    <w:p>
      <w:pPr>
        <w:spacing w:line="360" w:lineRule="auto"/>
        <w:ind w:firstLine="301" w:firstLineChars="100"/>
        <w:jc w:val="center"/>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项目编号：AHJT-2023-03-004</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2023年03月13日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spacing w:line="360" w:lineRule="auto"/>
        <w:jc w:val="center"/>
        <w:rPr>
          <w:rFonts w:hint="eastAsia" w:asciiTheme="majorEastAsia" w:hAnsiTheme="majorEastAsia" w:eastAsiaTheme="majorEastAsia" w:cstheme="majorEastAsia"/>
          <w:b w:val="0"/>
          <w:bCs/>
          <w:color w:val="auto"/>
          <w:spacing w:val="37"/>
          <w:sz w:val="30"/>
          <w:szCs w:val="30"/>
          <w:lang w:eastAsia="zh-CN"/>
        </w:rPr>
      </w:pPr>
      <w:r>
        <w:rPr>
          <w:rFonts w:hint="eastAsia" w:asciiTheme="majorEastAsia" w:hAnsiTheme="majorEastAsia" w:eastAsiaTheme="majorEastAsia" w:cstheme="majorEastAsia"/>
          <w:b w:val="0"/>
          <w:bCs/>
          <w:color w:val="auto"/>
          <w:spacing w:val="37"/>
          <w:sz w:val="30"/>
          <w:szCs w:val="30"/>
          <w:lang w:eastAsia="zh-CN"/>
        </w:rPr>
        <w:t>安徽省宁国市河沥文化街区EPC项目建设工程（管廊部分）钢筋工分包（第二次）</w:t>
      </w:r>
    </w:p>
    <w:p>
      <w:pPr>
        <w:spacing w:line="360" w:lineRule="auto"/>
        <w:jc w:val="center"/>
        <w:rPr>
          <w:rFonts w:hint="eastAsia" w:ascii="宋体" w:hAnsi="宋体" w:eastAsia="宋体" w:cs="宋体"/>
          <w:bCs w:val="0"/>
          <w:sz w:val="36"/>
          <w:szCs w:val="36"/>
          <w:lang w:val="en-US" w:eastAsia="zh-CN"/>
        </w:rPr>
      </w:pPr>
      <w:r>
        <w:rPr>
          <w:rFonts w:hint="eastAsia" w:asciiTheme="majorEastAsia" w:hAnsiTheme="majorEastAsia" w:eastAsiaTheme="majorEastAsia" w:cstheme="majorEastAsia"/>
          <w:b/>
          <w:color w:val="000000"/>
          <w:sz w:val="36"/>
          <w:szCs w:val="36"/>
          <w:lang w:val="en-US" w:eastAsia="zh-CN"/>
        </w:rPr>
        <w:t>招标公告</w:t>
      </w:r>
      <w:bookmarkStart w:id="0" w:name="_Toc296602411"/>
      <w:bookmarkStart w:id="1" w:name="_Toc179632537"/>
      <w:bookmarkStart w:id="2" w:name="_Toc246996167"/>
      <w:bookmarkStart w:id="3" w:name="_Toc152045520"/>
      <w:bookmarkStart w:id="4" w:name="_Toc246996910"/>
      <w:bookmarkStart w:id="5" w:name="_Toc152042296"/>
      <w:bookmarkStart w:id="6" w:name="_Toc247085681"/>
      <w:bookmarkStart w:id="7" w:name="_Toc144974488"/>
      <w:bookmarkStart w:id="8" w:name="_Toc329851755"/>
      <w:bookmarkStart w:id="9" w:name="_Toc246996903"/>
      <w:bookmarkStart w:id="10" w:name="_Toc152042290"/>
      <w:bookmarkStart w:id="11" w:name="_Toc152045514"/>
      <w:bookmarkStart w:id="12" w:name="_Toc179632530"/>
      <w:bookmarkStart w:id="13" w:name="_Toc247085674"/>
      <w:bookmarkStart w:id="14" w:name="_Toc246996160"/>
      <w:bookmarkStart w:id="15" w:name="_Toc144974482"/>
    </w:p>
    <w:bookmarkEnd w:id="0"/>
    <w:bookmarkEnd w:id="1"/>
    <w:bookmarkEnd w:id="2"/>
    <w:bookmarkEnd w:id="3"/>
    <w:bookmarkEnd w:id="4"/>
    <w:bookmarkEnd w:id="5"/>
    <w:bookmarkEnd w:id="6"/>
    <w:bookmarkEnd w:id="7"/>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bookmarkStart w:id="46" w:name="_GoBack"/>
      <w:bookmarkEnd w:id="46"/>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1.1、项目名称：</w:t>
      </w:r>
      <w:r>
        <w:rPr>
          <w:rFonts w:hint="eastAsia" w:asciiTheme="minorEastAsia" w:hAnsiTheme="minorEastAsia" w:eastAsiaTheme="minorEastAsia" w:cstheme="minorEastAsia"/>
          <w:b w:val="0"/>
          <w:bCs/>
          <w:color w:val="auto"/>
          <w:spacing w:val="37"/>
          <w:sz w:val="24"/>
          <w:szCs w:val="24"/>
          <w:lang w:eastAsia="zh-CN"/>
        </w:rPr>
        <w:t>安徽省宁国市河沥文化街区EPC项目建设工程（管廊部分）钢筋工分包（第二次）</w:t>
      </w: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-00</w:t>
      </w:r>
      <w:r>
        <w:rPr>
          <w:rFonts w:hint="eastAsia" w:ascii="宋体" w:hAnsi="宋体" w:cs="宋体"/>
          <w:sz w:val="24"/>
          <w:szCs w:val="24"/>
          <w:lang w:val="en-US" w:eastAsia="zh-CN"/>
        </w:rPr>
        <w:t>4</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1.5、实施地点：宁国</w:t>
      </w:r>
      <w:r>
        <w:rPr>
          <w:rFonts w:hint="eastAsia" w:ascii="宋体" w:hAnsi="宋体" w:cs="宋体"/>
          <w:sz w:val="24"/>
          <w:szCs w:val="24"/>
          <w:lang w:val="en-US" w:eastAsia="zh-CN"/>
        </w:rPr>
        <w:t>市河沥溪</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1.6、本项目业主总招标控制价：/</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本</w:t>
      </w:r>
      <w:r>
        <w:rPr>
          <w:rFonts w:hint="eastAsia" w:ascii="宋体" w:hAnsi="宋体" w:eastAsia="宋体" w:cs="宋体"/>
          <w:sz w:val="24"/>
          <w:szCs w:val="24"/>
        </w:rPr>
        <w:t>项目</w:t>
      </w:r>
      <w:r>
        <w:rPr>
          <w:rFonts w:hint="eastAsia" w:ascii="宋体" w:hAnsi="宋体" w:eastAsia="宋体" w:cs="宋体"/>
          <w:sz w:val="24"/>
          <w:szCs w:val="24"/>
          <w:lang w:eastAsia="zh-CN"/>
        </w:rPr>
        <w:t>预算价：</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1.8、本项目最高控制价：</w:t>
      </w:r>
      <w:r>
        <w:rPr>
          <w:rFonts w:hint="eastAsia" w:ascii="宋体" w:hAnsi="宋体" w:cs="宋体"/>
          <w:sz w:val="24"/>
          <w:szCs w:val="24"/>
          <w:lang w:val="en-US" w:eastAsia="zh-CN"/>
        </w:rPr>
        <w:t>详见招标文件</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.9、工期：根据工程进度进行施工并服从招标人安排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8"/>
      <w:bookmarkEnd w:id="9"/>
      <w:bookmarkEnd w:id="10"/>
      <w:bookmarkEnd w:id="11"/>
      <w:bookmarkEnd w:id="12"/>
      <w:bookmarkEnd w:id="13"/>
      <w:bookmarkEnd w:id="14"/>
      <w:bookmarkEnd w:id="15"/>
      <w:r>
        <w:rPr>
          <w:rFonts w:hint="eastAsia" w:ascii="宋体" w:hAnsi="宋体" w:eastAsia="宋体" w:cs="宋体"/>
          <w:sz w:val="24"/>
          <w:szCs w:val="24"/>
          <w:lang w:eastAsia="zh-CN"/>
        </w:rPr>
        <w:t xml:space="preserve">及注意事项 </w:t>
      </w:r>
      <w:bookmarkStart w:id="16" w:name="_Toc152045516"/>
      <w:bookmarkStart w:id="17" w:name="_Toc144974484"/>
      <w:bookmarkStart w:id="18" w:name="_Toc179632532"/>
      <w:bookmarkStart w:id="19" w:name="_Toc246996162"/>
      <w:bookmarkStart w:id="20" w:name="_Toc152042292"/>
      <w:bookmarkStart w:id="21" w:name="_Toc246996905"/>
      <w:bookmarkStart w:id="22" w:name="_Toc247085676"/>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2.1、投标人须为安徽津腾建设工程有限公司供应商信息库劳务分包库企业。</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2.2、投标人现场所有施工材料堆放、二次转运自行考虑。</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15</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8点30分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安徽津腾建设工程有限公司三楼预算部</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23" w:name="_Toc246996172"/>
      <w:bookmarkEnd w:id="23"/>
      <w:bookmarkStart w:id="24" w:name="_Toc152042301"/>
      <w:bookmarkEnd w:id="24"/>
      <w:bookmarkStart w:id="25" w:name="_Toc152045525"/>
      <w:bookmarkEnd w:id="25"/>
      <w:bookmarkStart w:id="26" w:name="_Toc296602416"/>
      <w:bookmarkEnd w:id="26"/>
      <w:bookmarkStart w:id="27" w:name="_Toc247085686"/>
      <w:bookmarkEnd w:id="27"/>
      <w:bookmarkStart w:id="28" w:name="_Toc246996915"/>
      <w:bookmarkEnd w:id="28"/>
      <w:bookmarkStart w:id="29" w:name="_Toc179632542"/>
      <w:bookmarkEnd w:id="29"/>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16"/>
      <w:bookmarkEnd w:id="17"/>
      <w:bookmarkEnd w:id="18"/>
      <w:bookmarkEnd w:id="19"/>
      <w:bookmarkEnd w:id="20"/>
      <w:bookmarkEnd w:id="21"/>
      <w:bookmarkEnd w:id="22"/>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15</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8</w:t>
            </w:r>
            <w:r>
              <w:rPr>
                <w:rFonts w:hint="eastAsia" w:ascii="宋体" w:hAnsi="宋体" w:eastAsia="宋体" w:cs="宋体"/>
                <w:color w:val="000000"/>
                <w:sz w:val="23"/>
                <w:szCs w:val="23"/>
                <w:lang w:eastAsia="zh-CN"/>
              </w:rPr>
              <w:t>点</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53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3"/>
                <w:szCs w:val="23"/>
                <w:u w:val="none"/>
                <w:lang w:val="en-US" w:eastAsia="zh-CN"/>
              </w:rPr>
            </w:pPr>
            <w:r>
              <w:rPr>
                <w:rFonts w:hint="eastAsia" w:ascii="宋体" w:hAnsi="宋体" w:cs="宋体"/>
                <w:kern w:val="0"/>
                <w:sz w:val="23"/>
                <w:szCs w:val="23"/>
                <w:lang w:val="en-US" w:eastAsia="zh-CN" w:bidi="ar-SA"/>
              </w:rPr>
              <w:t>1200元/t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w:t>
            </w:r>
            <w:r>
              <w:rPr>
                <w:rFonts w:hint="eastAsia" w:ascii="宋体" w:hAnsi="宋体" w:eastAsia="宋体" w:cs="宋体"/>
                <w:color w:val="000000"/>
                <w:sz w:val="23"/>
                <w:szCs w:val="23"/>
              </w:rPr>
              <w:t>（</w:t>
            </w:r>
            <w:r>
              <w:rPr>
                <w:rFonts w:hint="eastAsia" w:ascii="宋体" w:hAnsi="宋体" w:eastAsia="宋体" w:cs="宋体"/>
                <w:color w:val="000000"/>
                <w:sz w:val="23"/>
                <w:szCs w:val="23"/>
                <w:lang w:eastAsia="zh-CN"/>
              </w:rPr>
              <w:t>安徽津腾建设工程有限公司三楼预算部</w:t>
            </w: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最低价中标</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履约保证金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履约担保金额：中标价的2%</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A3"/>
            </w:r>
            <w:r>
              <w:rPr>
                <w:rFonts w:hint="eastAsia" w:ascii="宋体" w:hAnsi="宋体" w:eastAsia="宋体" w:cs="宋体"/>
                <w:sz w:val="23"/>
                <w:szCs w:val="23"/>
                <w:lang w:val="en-US" w:eastAsia="zh-CN"/>
              </w:rPr>
              <w:t>转账或者现金</w:t>
            </w:r>
          </w:p>
          <w:p>
            <w:pPr>
              <w:spacing w:line="400" w:lineRule="exact"/>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lang w:val="en-US" w:eastAsia="zh-CN"/>
              </w:rPr>
              <w:t>中标单位三日内不提交履约保证金视为自动放弃,工程验收合格后退还履约保证金(无息）</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如有）、企业安全生产许可证（如有）；项目负责人相关证件（如有）；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按投标单价*暂定工程量，结算按投标单价*实际工程量确定，投标单价不予调整。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w:t>
            </w:r>
            <w:r>
              <w:rPr>
                <w:rFonts w:hint="eastAsia" w:ascii="宋体" w:hAnsi="宋体" w:eastAsia="宋体" w:cs="宋体"/>
                <w:color w:val="auto"/>
                <w:spacing w:val="-4"/>
                <w:sz w:val="24"/>
                <w:szCs w:val="24"/>
              </w:rPr>
              <w:t>民工工资每月按考勤数量</w:t>
            </w:r>
            <w:r>
              <w:rPr>
                <w:rFonts w:hint="eastAsia" w:ascii="宋体" w:hAnsi="宋体" w:eastAsia="宋体" w:cs="宋体"/>
                <w:color w:val="auto"/>
                <w:spacing w:val="-4"/>
                <w:sz w:val="24"/>
                <w:szCs w:val="24"/>
                <w:lang w:val="en-US" w:eastAsia="zh-CN"/>
              </w:rPr>
              <w:t>制做</w:t>
            </w:r>
            <w:r>
              <w:rPr>
                <w:rFonts w:hint="eastAsia" w:ascii="宋体" w:hAnsi="宋体" w:eastAsia="宋体" w:cs="宋体"/>
                <w:color w:val="auto"/>
                <w:spacing w:val="-4"/>
                <w:sz w:val="24"/>
                <w:szCs w:val="24"/>
              </w:rPr>
              <w:t>工资表，通过第三方专户</w:t>
            </w:r>
            <w:r>
              <w:rPr>
                <w:rFonts w:hint="eastAsia" w:ascii="宋体" w:hAnsi="宋体" w:eastAsia="宋体" w:cs="宋体"/>
                <w:color w:val="auto"/>
                <w:spacing w:val="14"/>
                <w:sz w:val="24"/>
                <w:szCs w:val="24"/>
              </w:rPr>
              <w:t>发工资，大工200元/天，小工120元/天，</w:t>
            </w:r>
            <w:r>
              <w:rPr>
                <w:rFonts w:hint="eastAsia" w:ascii="宋体" w:hAnsi="宋体" w:eastAsia="宋体" w:cs="宋体"/>
                <w:color w:val="auto"/>
                <w:spacing w:val="14"/>
                <w:sz w:val="24"/>
                <w:szCs w:val="24"/>
                <w:lang w:eastAsia="zh-CN"/>
              </w:rPr>
              <w:t>按季度支付，每次支付</w:t>
            </w:r>
            <w:r>
              <w:rPr>
                <w:rFonts w:hint="eastAsia" w:ascii="宋体" w:hAnsi="宋体" w:eastAsia="宋体" w:cs="宋体"/>
                <w:color w:val="auto"/>
                <w:spacing w:val="13"/>
                <w:sz w:val="24"/>
                <w:szCs w:val="24"/>
              </w:rPr>
              <w:t>已完工程量</w:t>
            </w:r>
            <w:r>
              <w:rPr>
                <w:rFonts w:hint="eastAsia" w:ascii="宋体" w:hAnsi="宋体" w:eastAsia="宋体" w:cs="宋体"/>
                <w:color w:val="auto"/>
                <w:spacing w:val="13"/>
                <w:sz w:val="24"/>
                <w:szCs w:val="24"/>
                <w:lang w:val="en-US" w:eastAsia="zh-CN"/>
              </w:rPr>
              <w:t>6</w:t>
            </w:r>
            <w:r>
              <w:rPr>
                <w:rFonts w:hint="eastAsia" w:ascii="宋体" w:hAnsi="宋体" w:eastAsia="宋体" w:cs="宋体"/>
                <w:color w:val="auto"/>
                <w:spacing w:val="13"/>
                <w:sz w:val="24"/>
                <w:szCs w:val="24"/>
              </w:rPr>
              <w:t>0%,竣工验收付</w:t>
            </w:r>
            <w:r>
              <w:rPr>
                <w:rFonts w:hint="eastAsia" w:ascii="宋体" w:hAnsi="宋体" w:eastAsia="宋体" w:cs="宋体"/>
                <w:color w:val="auto"/>
                <w:spacing w:val="13"/>
                <w:sz w:val="24"/>
                <w:szCs w:val="24"/>
                <w:lang w:val="en-US" w:eastAsia="zh-CN"/>
              </w:rPr>
              <w:t>至</w:t>
            </w:r>
            <w:r>
              <w:rPr>
                <w:rFonts w:hint="eastAsia" w:ascii="宋体" w:hAnsi="宋体" w:eastAsia="宋体" w:cs="宋体"/>
                <w:color w:val="auto"/>
                <w:spacing w:val="13"/>
                <w:sz w:val="24"/>
                <w:szCs w:val="24"/>
              </w:rPr>
              <w:t>已完成工程量</w:t>
            </w:r>
            <w:r>
              <w:rPr>
                <w:rFonts w:hint="eastAsia" w:ascii="宋体" w:hAnsi="宋体" w:eastAsia="宋体" w:cs="宋体"/>
                <w:color w:val="auto"/>
                <w:spacing w:val="13"/>
                <w:sz w:val="24"/>
                <w:szCs w:val="24"/>
                <w:lang w:val="en-US" w:eastAsia="zh-CN"/>
              </w:rPr>
              <w:t>80</w:t>
            </w:r>
            <w:r>
              <w:rPr>
                <w:rFonts w:hint="eastAsia" w:ascii="宋体" w:hAnsi="宋体" w:eastAsia="宋体" w:cs="宋体"/>
                <w:color w:val="auto"/>
                <w:spacing w:val="13"/>
                <w:sz w:val="24"/>
                <w:szCs w:val="24"/>
              </w:rPr>
              <w:t>%,</w:t>
            </w:r>
            <w:r>
              <w:rPr>
                <w:rFonts w:hint="eastAsia" w:ascii="宋体" w:hAnsi="宋体" w:eastAsia="宋体" w:cs="宋体"/>
                <w:color w:val="auto"/>
                <w:spacing w:val="13"/>
                <w:sz w:val="24"/>
                <w:szCs w:val="24"/>
                <w:lang w:val="en-US" w:eastAsia="zh-CN"/>
              </w:rPr>
              <w:t>建设单位审计完成后付至已完成</w:t>
            </w:r>
            <w:r>
              <w:rPr>
                <w:rFonts w:hint="eastAsia" w:ascii="宋体" w:hAnsi="宋体" w:eastAsia="宋体" w:cs="宋体"/>
                <w:color w:val="auto"/>
                <w:spacing w:val="13"/>
                <w:sz w:val="24"/>
                <w:szCs w:val="24"/>
              </w:rPr>
              <w:t>工</w:t>
            </w:r>
            <w:r>
              <w:rPr>
                <w:rFonts w:hint="eastAsia" w:ascii="宋体" w:hAnsi="宋体" w:eastAsia="宋体" w:cs="宋体"/>
                <w:color w:val="auto"/>
                <w:spacing w:val="12"/>
                <w:sz w:val="24"/>
                <w:szCs w:val="24"/>
              </w:rPr>
              <w:t>程量9</w:t>
            </w:r>
            <w:r>
              <w:rPr>
                <w:rFonts w:hint="eastAsia" w:ascii="宋体" w:hAnsi="宋体" w:eastAsia="宋体" w:cs="宋体"/>
                <w:color w:val="auto"/>
                <w:spacing w:val="12"/>
                <w:sz w:val="24"/>
                <w:szCs w:val="24"/>
                <w:lang w:val="en-US" w:eastAsia="zh-CN"/>
              </w:rPr>
              <w:t>7</w:t>
            </w:r>
            <w:r>
              <w:rPr>
                <w:rFonts w:hint="eastAsia" w:ascii="宋体" w:hAnsi="宋体" w:eastAsia="宋体" w:cs="宋体"/>
                <w:color w:val="auto"/>
                <w:spacing w:val="12"/>
                <w:sz w:val="24"/>
                <w:szCs w:val="24"/>
              </w:rPr>
              <w:t>%,</w:t>
            </w:r>
            <w:r>
              <w:rPr>
                <w:rFonts w:hint="eastAsia" w:ascii="宋体" w:hAnsi="宋体" w:eastAsia="宋体" w:cs="宋体"/>
                <w:color w:val="auto"/>
                <w:spacing w:val="-8"/>
                <w:sz w:val="24"/>
                <w:szCs w:val="24"/>
              </w:rPr>
              <w:t>余款一年内付清</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无息</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备注：1、施工费报价：投标单价。</w:t>
            </w:r>
          </w:p>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2、现场所有施工材料堆放、二次转运自行考虑。</w:t>
            </w:r>
          </w:p>
          <w:p>
            <w:pPr>
              <w:spacing w:line="400" w:lineRule="exact"/>
              <w:jc w:val="left"/>
              <w:rPr>
                <w:rFonts w:hint="default"/>
                <w:lang w:val="en-US" w:eastAsia="zh-CN"/>
              </w:rPr>
            </w:pPr>
            <w:r>
              <w:rPr>
                <w:rFonts w:hint="eastAsia" w:ascii="宋体" w:hAnsi="宋体" w:eastAsia="宋体" w:cs="宋体"/>
                <w:sz w:val="23"/>
                <w:szCs w:val="23"/>
                <w:lang w:val="en-US" w:eastAsia="zh-CN"/>
              </w:rPr>
              <w:t>3、工资开具3%增值税专用发票。</w:t>
            </w: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both"/>
        <w:rPr>
          <w:rFonts w:hint="eastAsia" w:ascii="宋体" w:hAnsi="宋体" w:eastAsia="宋体" w:cs="宋体"/>
          <w:sz w:val="32"/>
          <w:szCs w:val="32"/>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30" w:name="_Toc179632565"/>
      <w:bookmarkStart w:id="31" w:name="_Toc152042323"/>
      <w:bookmarkStart w:id="32" w:name="_Toc246996935"/>
      <w:bookmarkStart w:id="33" w:name="_Toc296602437"/>
      <w:bookmarkStart w:id="34" w:name="_Toc246996192"/>
      <w:bookmarkStart w:id="35" w:name="_Toc144974515"/>
      <w:bookmarkStart w:id="36" w:name="_Toc152045547"/>
      <w:bookmarkStart w:id="37" w:name="_Toc247085706"/>
      <w:r>
        <w:rPr>
          <w:rFonts w:hint="eastAsia" w:ascii="宋体" w:hAnsi="宋体" w:eastAsia="宋体" w:cs="宋体"/>
          <w:b/>
          <w:sz w:val="28"/>
          <w:szCs w:val="28"/>
        </w:rPr>
        <w:t>3.1投标文件的组成</w:t>
      </w:r>
      <w:bookmarkEnd w:id="30"/>
      <w:bookmarkEnd w:id="31"/>
      <w:bookmarkEnd w:id="32"/>
      <w:bookmarkEnd w:id="33"/>
      <w:bookmarkEnd w:id="34"/>
      <w:bookmarkEnd w:id="35"/>
      <w:bookmarkEnd w:id="36"/>
      <w:bookmarkEnd w:id="37"/>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r>
        <w:rPr>
          <w:rFonts w:hint="eastAsia" w:ascii="仿宋" w:hAnsi="仿宋" w:eastAsia="仿宋" w:cs="仿宋"/>
          <w:b w:val="0"/>
          <w:bCs w:val="0"/>
          <w:color w:val="000000"/>
          <w:kern w:val="0"/>
          <w:sz w:val="23"/>
          <w:szCs w:val="23"/>
          <w:highlight w:val="none"/>
          <w:lang w:val="en-US" w:eastAsia="zh-CN" w:bidi="ar-SA"/>
        </w:rPr>
        <w:t xml:space="preserve">  本项目招标采取最低价中标。</w:t>
      </w: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ermStart w:id="0" w:edGrp="everyone" w:colFirst="1" w:colLast="1"/>
            <w:permStart w:id="1" w:edGrp="everyone" w:colFirst="2" w:colLast="2"/>
            <w:permStart w:id="2" w:edGrp="everyone" w:colFirst="3" w:colLast="3"/>
          </w:p>
        </w:tc>
        <w:tc>
          <w:tcPr>
            <w:tcW w:w="463" w:type="dxa"/>
            <w:noWrap w:val="0"/>
            <w:vAlign w:val="center"/>
          </w:tcPr>
          <w:p>
            <w:pPr>
              <w:spacing w:line="550" w:lineRule="exact"/>
              <w:jc w:val="center"/>
              <w:rPr>
                <w:rFonts w:hint="eastAsia" w:ascii="仿宋" w:hAnsi="仿宋" w:eastAsia="仿宋" w:cs="仿宋"/>
                <w:color w:val="000000"/>
                <w:sz w:val="23"/>
                <w:szCs w:val="23"/>
                <w:lang w:val="en-US" w:eastAsia="zh-CN"/>
              </w:rPr>
            </w:pPr>
          </w:p>
        </w:tc>
        <w:tc>
          <w:tcPr>
            <w:tcW w:w="2909" w:type="dxa"/>
            <w:noWrap w:val="0"/>
            <w:vAlign w:val="center"/>
          </w:tcPr>
          <w:p>
            <w:pPr>
              <w:spacing w:line="550" w:lineRule="exact"/>
              <w:jc w:val="center"/>
              <w:rPr>
                <w:rFonts w:hint="eastAsia" w:ascii="仿宋" w:hAnsi="仿宋" w:eastAsia="仿宋" w:cs="仿宋"/>
                <w:color w:val="000000"/>
                <w:sz w:val="23"/>
                <w:szCs w:val="23"/>
              </w:rPr>
            </w:pPr>
          </w:p>
        </w:tc>
        <w:tc>
          <w:tcPr>
            <w:tcW w:w="3860" w:type="dxa"/>
            <w:noWrap w:val="0"/>
            <w:vAlign w:val="center"/>
          </w:tcPr>
          <w:p>
            <w:pPr>
              <w:spacing w:line="550" w:lineRule="exact"/>
              <w:jc w:val="center"/>
              <w:rPr>
                <w:rFonts w:hint="eastAsia" w:ascii="仿宋" w:hAnsi="仿宋" w:eastAsia="仿宋" w:cs="仿宋"/>
                <w:b/>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permEnd w:id="0"/>
      <w:permEnd w:id="1"/>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rPr>
            </w:pPr>
          </w:p>
        </w:tc>
        <w:tc>
          <w:tcPr>
            <w:tcW w:w="2909" w:type="dxa"/>
            <w:noWrap w:val="0"/>
            <w:vAlign w:val="top"/>
          </w:tcPr>
          <w:p>
            <w:pPr>
              <w:spacing w:line="550" w:lineRule="exact"/>
              <w:rPr>
                <w:rFonts w:hint="eastAsia" w:ascii="仿宋" w:hAnsi="仿宋" w:eastAsia="仿宋" w:cs="仿宋"/>
                <w:color w:val="000000"/>
                <w:sz w:val="23"/>
                <w:szCs w:val="23"/>
              </w:rPr>
            </w:pPr>
          </w:p>
        </w:tc>
        <w:tc>
          <w:tcPr>
            <w:tcW w:w="3860" w:type="dxa"/>
            <w:noWrap w:val="0"/>
            <w:vAlign w:val="center"/>
          </w:tcPr>
          <w:p>
            <w:pPr>
              <w:spacing w:line="550" w:lineRule="exact"/>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3"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highlight w:val="none"/>
          <w:u w:val="double"/>
        </w:rPr>
      </w:pPr>
      <w:r>
        <w:rPr>
          <w:rFonts w:hint="eastAsia" w:ascii="仿宋" w:hAnsi="仿宋" w:eastAsia="仿宋" w:cs="仿宋"/>
          <w:color w:val="000000"/>
          <w:sz w:val="23"/>
          <w:szCs w:val="23"/>
          <w:highlight w:val="none"/>
          <w:u w:val="double"/>
        </w:rPr>
        <w:t>评委会对通过资格审查的投标文件作进一步的评审。评审的基本步骤和基本要求如下：</w:t>
      </w:r>
    </w:p>
    <w:p>
      <w:pPr>
        <w:spacing w:line="550" w:lineRule="exact"/>
        <w:rPr>
          <w:rFonts w:hint="eastAsia" w:ascii="仿宋" w:hAnsi="仿宋" w:eastAsia="仿宋" w:cs="仿宋"/>
          <w:b/>
          <w:color w:val="000000"/>
          <w:sz w:val="23"/>
          <w:szCs w:val="23"/>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53" w:firstLineChars="196"/>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t>商务标评审（经评审的有效低价法）</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1</w:t>
      </w:r>
      <w:r>
        <w:rPr>
          <w:rFonts w:hint="eastAsia" w:ascii="仿宋" w:hAnsi="仿宋" w:eastAsia="仿宋" w:cs="仿宋"/>
          <w:b/>
          <w:bCs/>
          <w:color w:val="000000"/>
          <w:sz w:val="23"/>
          <w:szCs w:val="23"/>
          <w:highlight w:val="none"/>
        </w:rPr>
        <w:t xml:space="preserve">   商务标评审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.1投标报价评审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出现下列情形之一的投标报价均不参与基准值计算：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.1.1投标报价超过该项目招标控制价的；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.1.2界定为“串通投标”的；</w:t>
      </w:r>
    </w:p>
    <w:p>
      <w:pPr>
        <w:spacing w:line="550" w:lineRule="exact"/>
        <w:ind w:firstLine="460" w:firstLineChars="200"/>
        <w:rPr>
          <w:rFonts w:hint="eastAsia" w:ascii="仿宋" w:hAnsi="仿宋" w:eastAsia="仿宋" w:cs="仿宋"/>
          <w:b/>
          <w:color w:val="000000"/>
          <w:sz w:val="23"/>
          <w:szCs w:val="23"/>
          <w:highlight w:val="none"/>
          <w:u w:val="singl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.1.3不同投标人投标文件异常一致或者报价呈规律性差异的；</w:t>
      </w:r>
    </w:p>
    <w:p>
      <w:pPr>
        <w:spacing w:line="550" w:lineRule="exact"/>
        <w:ind w:firstLine="460" w:firstLineChars="200"/>
        <w:rPr>
          <w:rFonts w:hint="eastAsia" w:ascii="仿宋" w:hAnsi="仿宋" w:eastAsia="仿宋" w:cs="仿宋"/>
          <w:b/>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.2投标报价分项报价评审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评标委员会进行商务标报价详细评审时，发现有下列情形之一的，应否决其投标：</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修改分部分项工程量清单项目或数量的；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投标人的投标报价超过</w:t>
      </w:r>
      <w:r>
        <w:rPr>
          <w:rFonts w:hint="eastAsia" w:ascii="仿宋" w:hAnsi="仿宋" w:eastAsia="仿宋" w:cs="仿宋"/>
          <w:color w:val="auto"/>
          <w:sz w:val="23"/>
          <w:szCs w:val="23"/>
          <w:highlight w:val="none"/>
        </w:rPr>
        <w:t>招标控制价</w:t>
      </w:r>
      <w:r>
        <w:rPr>
          <w:rFonts w:hint="eastAsia" w:ascii="仿宋" w:hAnsi="仿宋" w:eastAsia="仿宋" w:cs="仿宋"/>
          <w:color w:val="000000"/>
          <w:sz w:val="23"/>
          <w:szCs w:val="23"/>
          <w:highlight w:val="none"/>
        </w:rPr>
        <w:t>的；</w:t>
      </w:r>
    </w:p>
    <w:p>
      <w:pPr>
        <w:spacing w:line="550" w:lineRule="exact"/>
        <w:ind w:firstLine="460" w:firstLineChars="200"/>
        <w:rPr>
          <w:rFonts w:hint="eastAsia" w:ascii="仿宋" w:hAnsi="仿宋" w:eastAsia="仿宋" w:cs="仿宋"/>
          <w:color w:val="000000"/>
          <w:sz w:val="23"/>
          <w:szCs w:val="23"/>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3</w:t>
      </w:r>
      <w:r>
        <w:rPr>
          <w:rFonts w:hint="eastAsia" w:ascii="仿宋" w:hAnsi="仿宋" w:eastAsia="仿宋" w:cs="仿宋"/>
          <w:color w:val="000000"/>
          <w:sz w:val="23"/>
          <w:szCs w:val="23"/>
          <w:highlight w:val="none"/>
        </w:rPr>
        <w:t>经评标委员会认定为重大偏差的其他情形。</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.3投标人有以下情形之一的，评标委员会应当否决其投标：</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 xml:space="preserve">.3.1串通投标或弄虚作假或有其他违法行为的；    </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.3.2不按评标委员会要求澄清、说明或补正的；</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.3.3不同投标人投标文件异常一致或者报价呈规律性差异的；</w:t>
      </w:r>
    </w:p>
    <w:permEnd w:id="3"/>
    <w:p>
      <w:pPr>
        <w:spacing w:line="550" w:lineRule="exact"/>
        <w:ind w:firstLine="462" w:firstLineChars="200"/>
        <w:jc w:val="left"/>
        <w:rPr>
          <w:rFonts w:hint="eastAsia" w:ascii="仿宋" w:hAnsi="仿宋" w:eastAsia="仿宋" w:cs="仿宋"/>
          <w:b/>
          <w:bCs/>
          <w:color w:val="000000"/>
          <w:sz w:val="23"/>
          <w:szCs w:val="23"/>
        </w:rPr>
      </w:pPr>
      <w:r>
        <w:rPr>
          <w:rFonts w:hint="eastAsia" w:ascii="仿宋" w:hAnsi="仿宋" w:eastAsia="仿宋" w:cs="仿宋"/>
          <w:b/>
          <w:bCs/>
          <w:color w:val="000000"/>
          <w:sz w:val="23"/>
          <w:szCs w:val="23"/>
        </w:rPr>
        <w:t>4．</w:t>
      </w:r>
      <w:r>
        <w:rPr>
          <w:rFonts w:hint="eastAsia" w:ascii="仿宋" w:hAnsi="仿宋" w:eastAsia="仿宋" w:cs="仿宋"/>
          <w:b/>
          <w:bCs/>
          <w:color w:val="000000"/>
          <w:sz w:val="23"/>
          <w:szCs w:val="23"/>
          <w:lang w:val="en-US" w:eastAsia="zh-CN"/>
        </w:rPr>
        <w:t>2</w:t>
      </w:r>
      <w:r>
        <w:rPr>
          <w:rFonts w:hint="eastAsia" w:ascii="仿宋" w:hAnsi="仿宋" w:eastAsia="仿宋" w:cs="仿宋"/>
          <w:b/>
          <w:bCs/>
          <w:color w:val="000000"/>
          <w:sz w:val="23"/>
          <w:szCs w:val="23"/>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3</w:t>
      </w:r>
      <w:r>
        <w:rPr>
          <w:rFonts w:hint="eastAsia" w:ascii="仿宋" w:hAnsi="仿宋" w:eastAsia="仿宋" w:cs="仿宋"/>
          <w:b/>
          <w:bCs/>
          <w:color w:val="000000"/>
          <w:sz w:val="23"/>
          <w:szCs w:val="23"/>
          <w:highlight w:val="none"/>
        </w:rPr>
        <w:t>推荐中标候选人。</w:t>
      </w:r>
    </w:p>
    <w:p>
      <w:pPr>
        <w:spacing w:line="550" w:lineRule="exact"/>
        <w:ind w:firstLine="460" w:firstLineChars="200"/>
        <w:rPr>
          <w:rFonts w:hint="eastAsia"/>
          <w:lang w:val="en-US" w:eastAsia="zh-CN"/>
        </w:rPr>
      </w:pPr>
      <w:r>
        <w:rPr>
          <w:rFonts w:hint="eastAsia" w:ascii="仿宋" w:hAnsi="仿宋" w:eastAsia="仿宋" w:cs="仿宋"/>
          <w:color w:val="000000"/>
          <w:sz w:val="23"/>
          <w:szCs w:val="23"/>
          <w:lang w:val="en-US" w:eastAsia="zh-CN"/>
        </w:rPr>
        <w:t>4.3.1</w:t>
      </w:r>
      <w:r>
        <w:rPr>
          <w:rFonts w:hint="eastAsia" w:ascii="仿宋" w:hAnsi="仿宋" w:eastAsia="仿宋" w:cs="仿宋"/>
          <w:color w:val="000000"/>
          <w:sz w:val="23"/>
          <w:szCs w:val="23"/>
        </w:rPr>
        <w:t>经评审合格的投标文件，评标委员会按</w:t>
      </w:r>
      <w:r>
        <w:rPr>
          <w:rFonts w:hint="eastAsia" w:ascii="仿宋" w:hAnsi="仿宋" w:eastAsia="仿宋" w:cs="仿宋"/>
          <w:b w:val="0"/>
          <w:bCs w:val="0"/>
          <w:color w:val="000000"/>
          <w:kern w:val="0"/>
          <w:sz w:val="23"/>
          <w:szCs w:val="23"/>
          <w:highlight w:val="none"/>
          <w:lang w:val="en-US" w:eastAsia="zh-CN" w:bidi="ar-SA"/>
        </w:rPr>
        <w:t>最低价确定中标人</w:t>
      </w:r>
      <w:r>
        <w:rPr>
          <w:rFonts w:hint="eastAsia" w:ascii="仿宋" w:hAnsi="仿宋" w:eastAsia="仿宋" w:cs="仿宋"/>
          <w:color w:val="000000"/>
          <w:sz w:val="23"/>
          <w:szCs w:val="23"/>
          <w:lang w:eastAsia="zh-CN"/>
        </w:rPr>
        <w:t>。</w:t>
      </w:r>
    </w:p>
    <w:p>
      <w:pP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r>
        <w:rPr>
          <w:rFonts w:hint="eastAsia" w:asciiTheme="minorEastAsia" w:hAnsiTheme="minorEastAsia" w:eastAsiaTheme="minorEastAsia" w:cstheme="minorEastAsia"/>
          <w:b w:val="0"/>
          <w:bCs/>
          <w:color w:val="auto"/>
          <w:spacing w:val="37"/>
          <w:sz w:val="36"/>
          <w:szCs w:val="36"/>
          <w:lang w:eastAsia="zh-CN"/>
        </w:rPr>
        <w:t>安徽省宁国市河沥文化街区EPC项目建设工程（管廊部分）钢筋工分包（第二次）</w:t>
      </w:r>
    </w:p>
    <w:p>
      <w:pPr>
        <w:pStyle w:val="2"/>
        <w:rPr>
          <w:rFonts w:hint="eastAsia"/>
        </w:rPr>
      </w:pP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cs="宋体"/>
          <w:lang w:eastAsia="zh-CN"/>
        </w:rPr>
        <w:t>钢筋</w:t>
      </w:r>
      <w:r>
        <w:rPr>
          <w:rFonts w:hint="eastAsia"/>
          <w:b w:val="0"/>
          <w:bCs/>
          <w:sz w:val="24"/>
          <w:lang w:val="en-US" w:eastAsia="zh-CN"/>
        </w:rPr>
        <w:t>部分报价</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/t</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8" w:name="_Toc179632812"/>
      <w:bookmarkStart w:id="39" w:name="_Toc152045792"/>
      <w:bookmarkStart w:id="40" w:name="_Toc246997103"/>
      <w:bookmarkStart w:id="41" w:name="_Toc144974861"/>
      <w:bookmarkStart w:id="42" w:name="_Toc247085878"/>
      <w:bookmarkStart w:id="43" w:name="_Toc152042581"/>
      <w:bookmarkStart w:id="44" w:name="_Toc246996360"/>
      <w:bookmarkStart w:id="45" w:name="_Toc329851856"/>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ind w:firstLine="3534" w:firstLineChars="1100"/>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8"/>
      <w:bookmarkEnd w:id="39"/>
      <w:bookmarkEnd w:id="40"/>
      <w:bookmarkEnd w:id="41"/>
      <w:bookmarkEnd w:id="42"/>
      <w:bookmarkEnd w:id="43"/>
      <w:bookmarkEnd w:id="44"/>
      <w:bookmarkEnd w:id="45"/>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snapToGrid/>
        <w:spacing w:beforeAutospacing="0" w:after="160" w:afterAutospacing="0" w:line="360" w:lineRule="auto"/>
        <w:ind w:left="0" w:leftChars="0" w:firstLine="723" w:firstLineChars="200"/>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报价表</w:t>
      </w:r>
    </w:p>
    <w:tbl>
      <w:tblPr>
        <w:tblStyle w:val="42"/>
        <w:tblW w:w="420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6"/>
        <w:gridCol w:w="1104"/>
        <w:gridCol w:w="1061"/>
        <w:gridCol w:w="1446"/>
        <w:gridCol w:w="1668"/>
        <w:gridCol w:w="1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ascii="黑体" w:hAnsi="宋体" w:eastAsia="黑体" w:cs="黑体"/>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工程名称</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数量</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kern w:val="0"/>
                <w:sz w:val="22"/>
                <w:szCs w:val="22"/>
                <w:u w:val="none"/>
                <w:lang w:val="en-US" w:eastAsia="zh-CN" w:bidi="ar"/>
              </w:rPr>
              <w:t>单价元/t</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金额/元</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钢筋</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1</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元/t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lang w:eastAsia="zh-CN"/>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黑体" w:hAnsi="宋体" w:eastAsia="黑体" w:cs="黑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黑体" w:hAnsi="宋体" w:eastAsia="黑体" w:cs="黑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黑体" w:hAnsi="宋体" w:eastAsia="黑体" w:cs="黑体"/>
                <w:i w:val="0"/>
                <w:iCs w:val="0"/>
                <w:color w:val="000000"/>
                <w:sz w:val="22"/>
                <w:szCs w:val="22"/>
                <w:u w:val="none"/>
              </w:rPr>
            </w:pPr>
          </w:p>
        </w:tc>
      </w:tr>
    </w:tbl>
    <w:p>
      <w:pPr>
        <w:pStyle w:val="2"/>
        <w:numPr>
          <w:ilvl w:val="0"/>
          <w:numId w:val="0"/>
        </w:numPr>
        <w:ind w:leftChars="0"/>
        <w:rPr>
          <w:rFonts w:hint="eastAsia"/>
          <w:lang w:eastAsia="zh-CN"/>
        </w:rPr>
      </w:pPr>
    </w:p>
    <w:p>
      <w:pPr>
        <w:rPr>
          <w:rFonts w:hint="eastAsia" w:ascii="宋体" w:hAnsi="宋体" w:eastAsia="宋体" w:cs="宋体"/>
          <w:b/>
          <w:sz w:val="32"/>
          <w:szCs w:val="32"/>
          <w:lang w:eastAsia="zh-CN"/>
        </w:rPr>
      </w:pPr>
      <w:r>
        <w:rPr>
          <w:rFonts w:hint="eastAsia" w:ascii="宋体" w:hAnsi="宋体" w:eastAsia="宋体" w:cs="宋体"/>
          <w:b/>
          <w:sz w:val="32"/>
          <w:szCs w:val="32"/>
          <w:lang w:eastAsia="zh-CN"/>
        </w:rPr>
        <w:br w:type="page"/>
      </w: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numPr>
          <w:ilvl w:val="0"/>
          <w:numId w:val="9"/>
        </w:numPr>
        <w:jc w:val="left"/>
        <w:rPr>
          <w:rFonts w:hint="eastAsia" w:cs="Times New Roman"/>
          <w:lang w:val="en-US" w:eastAsia="zh-CN"/>
        </w:rPr>
      </w:pPr>
      <w:r>
        <w:rPr>
          <w:rFonts w:hint="eastAsia" w:cs="Times New Roman"/>
          <w:lang w:val="en-US" w:eastAsia="zh-CN"/>
        </w:rPr>
        <w:t>、营业执照复印件</w:t>
      </w:r>
    </w:p>
    <w:p>
      <w:pPr>
        <w:pStyle w:val="2"/>
        <w:numPr>
          <w:ilvl w:val="0"/>
          <w:numId w:val="9"/>
        </w:numPr>
        <w:jc w:val="left"/>
        <w:rPr>
          <w:rFonts w:hint="eastAsia" w:cs="Times New Roman"/>
          <w:lang w:val="en-US" w:eastAsia="zh-CN"/>
        </w:rPr>
      </w:pPr>
      <w:r>
        <w:rPr>
          <w:rFonts w:hint="eastAsia" w:cs="Times New Roman"/>
          <w:lang w:val="en-US" w:eastAsia="zh-CN"/>
        </w:rPr>
        <w:t>、工程项目负责人相关证书和身份证复印件</w:t>
      </w:r>
    </w:p>
    <w:p>
      <w:pPr>
        <w:pStyle w:val="2"/>
        <w:numPr>
          <w:ilvl w:val="0"/>
          <w:numId w:val="9"/>
        </w:numPr>
        <w:jc w:val="left"/>
        <w:rPr>
          <w:rFonts w:hint="default" w:cs="Times New Roman"/>
          <w:lang w:val="en-US" w:eastAsia="zh-CN"/>
        </w:rPr>
      </w:pPr>
      <w:r>
        <w:rPr>
          <w:rFonts w:hint="eastAsia" w:cs="Times New Roman"/>
          <w:lang w:val="en-US" w:eastAsia="zh-CN"/>
        </w:rPr>
        <w:t>、基本账户复印件</w:t>
      </w: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A68D89-7BA3-43ED-9127-0495BFFE5D2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EF1B487-44A4-4DC1-8128-ACABA3E764E2}"/>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48B49793-A345-4493-A756-F5B1B01ED5FC}"/>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61E27618-3EA9-489A-9B9E-13ADB498920D}"/>
  </w:font>
  <w:font w:name="Wingdings 2">
    <w:panose1 w:val="05020102010507070707"/>
    <w:charset w:val="02"/>
    <w:family w:val="auto"/>
    <w:pitch w:val="default"/>
    <w:sig w:usb0="00000000" w:usb1="00000000" w:usb2="00000000" w:usb3="00000000" w:csb0="80000000" w:csb1="00000000"/>
    <w:embedRegular r:id="rId5" w:fontKey="{A220092A-66D8-4102-9879-BF33874DBD03}"/>
  </w:font>
  <w:font w:name="仿宋">
    <w:panose1 w:val="02010609060101010101"/>
    <w:charset w:val="86"/>
    <w:family w:val="auto"/>
    <w:pitch w:val="default"/>
    <w:sig w:usb0="800002BF" w:usb1="38CF7CFA" w:usb2="00000016" w:usb3="00000000" w:csb0="00040001" w:csb1="00000000"/>
    <w:embedRegular r:id="rId6" w:fontKey="{EDAD25B7-DA8F-4F7D-B2FE-5F0160590B28}"/>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29CC714D"/>
    <w:multiLevelType w:val="singleLevel"/>
    <w:tmpl w:val="29CC714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8"/>
  </w:num>
  <w:num w:numId="3">
    <w:abstractNumId w:val="4"/>
  </w:num>
  <w:num w:numId="4">
    <w:abstractNumId w:val="3"/>
  </w:num>
  <w:num w:numId="5">
    <w:abstractNumId w:val="6"/>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5C6578"/>
    <w:rsid w:val="038F1724"/>
    <w:rsid w:val="03C70711"/>
    <w:rsid w:val="043D60CC"/>
    <w:rsid w:val="058F76A9"/>
    <w:rsid w:val="0644168A"/>
    <w:rsid w:val="06BC2E1B"/>
    <w:rsid w:val="0737309F"/>
    <w:rsid w:val="07CD1375"/>
    <w:rsid w:val="08017B21"/>
    <w:rsid w:val="08514B8D"/>
    <w:rsid w:val="08C640F8"/>
    <w:rsid w:val="09030699"/>
    <w:rsid w:val="09A70C71"/>
    <w:rsid w:val="0A051F93"/>
    <w:rsid w:val="0A36560E"/>
    <w:rsid w:val="0A527310"/>
    <w:rsid w:val="0A8729A8"/>
    <w:rsid w:val="0AA7399A"/>
    <w:rsid w:val="0C7845D5"/>
    <w:rsid w:val="0C8D24D0"/>
    <w:rsid w:val="0DC3667D"/>
    <w:rsid w:val="0EA726DD"/>
    <w:rsid w:val="0F5840E0"/>
    <w:rsid w:val="0FE17CA4"/>
    <w:rsid w:val="10101691"/>
    <w:rsid w:val="115F5418"/>
    <w:rsid w:val="11C5043F"/>
    <w:rsid w:val="11D05E7E"/>
    <w:rsid w:val="11DD4FBA"/>
    <w:rsid w:val="12032D4C"/>
    <w:rsid w:val="123160C9"/>
    <w:rsid w:val="12820543"/>
    <w:rsid w:val="129C6CE6"/>
    <w:rsid w:val="14C74196"/>
    <w:rsid w:val="1605006D"/>
    <w:rsid w:val="19181CAB"/>
    <w:rsid w:val="194239A5"/>
    <w:rsid w:val="19667165"/>
    <w:rsid w:val="19AA4083"/>
    <w:rsid w:val="19AF0B5B"/>
    <w:rsid w:val="1A7E28C3"/>
    <w:rsid w:val="1A9E3253"/>
    <w:rsid w:val="1BC25A57"/>
    <w:rsid w:val="1BCF70C8"/>
    <w:rsid w:val="1C7C5B27"/>
    <w:rsid w:val="1CEC7CF0"/>
    <w:rsid w:val="1DC1221D"/>
    <w:rsid w:val="1E2A1B70"/>
    <w:rsid w:val="1E633EC0"/>
    <w:rsid w:val="1E7B23CC"/>
    <w:rsid w:val="1E845A30"/>
    <w:rsid w:val="1EBC079F"/>
    <w:rsid w:val="1F074516"/>
    <w:rsid w:val="1F6B3CB9"/>
    <w:rsid w:val="1F757D50"/>
    <w:rsid w:val="1FDC1A61"/>
    <w:rsid w:val="202F399B"/>
    <w:rsid w:val="20B11D22"/>
    <w:rsid w:val="225713E5"/>
    <w:rsid w:val="22ED3308"/>
    <w:rsid w:val="233B3CA0"/>
    <w:rsid w:val="23B27078"/>
    <w:rsid w:val="241A2924"/>
    <w:rsid w:val="25B474B9"/>
    <w:rsid w:val="25DC5FA2"/>
    <w:rsid w:val="26C03072"/>
    <w:rsid w:val="26D02619"/>
    <w:rsid w:val="26E60319"/>
    <w:rsid w:val="27D45E99"/>
    <w:rsid w:val="2812532E"/>
    <w:rsid w:val="28225715"/>
    <w:rsid w:val="2825219C"/>
    <w:rsid w:val="2910697B"/>
    <w:rsid w:val="29C9798D"/>
    <w:rsid w:val="29EF0AA3"/>
    <w:rsid w:val="2AA219B3"/>
    <w:rsid w:val="2AD665EE"/>
    <w:rsid w:val="2EF967AD"/>
    <w:rsid w:val="2F7549E3"/>
    <w:rsid w:val="30B47766"/>
    <w:rsid w:val="312F15F9"/>
    <w:rsid w:val="31D8371B"/>
    <w:rsid w:val="32D21971"/>
    <w:rsid w:val="334A32AB"/>
    <w:rsid w:val="33811C82"/>
    <w:rsid w:val="339430F0"/>
    <w:rsid w:val="33A107AE"/>
    <w:rsid w:val="33F86624"/>
    <w:rsid w:val="356F1790"/>
    <w:rsid w:val="35B33F01"/>
    <w:rsid w:val="36D65795"/>
    <w:rsid w:val="37C16E80"/>
    <w:rsid w:val="38800888"/>
    <w:rsid w:val="389C03BD"/>
    <w:rsid w:val="3A0B6C49"/>
    <w:rsid w:val="3A83183F"/>
    <w:rsid w:val="3B034672"/>
    <w:rsid w:val="3B806E1C"/>
    <w:rsid w:val="3BD02B46"/>
    <w:rsid w:val="3C522566"/>
    <w:rsid w:val="3D0A329B"/>
    <w:rsid w:val="3D141F11"/>
    <w:rsid w:val="3D214E10"/>
    <w:rsid w:val="3F380FAB"/>
    <w:rsid w:val="3F7706C0"/>
    <w:rsid w:val="3FF46061"/>
    <w:rsid w:val="4037522A"/>
    <w:rsid w:val="40CE5F26"/>
    <w:rsid w:val="412D3E26"/>
    <w:rsid w:val="41A63F34"/>
    <w:rsid w:val="436C5E2D"/>
    <w:rsid w:val="437E6A5B"/>
    <w:rsid w:val="43AF585B"/>
    <w:rsid w:val="45607BB1"/>
    <w:rsid w:val="45A15714"/>
    <w:rsid w:val="45B927DD"/>
    <w:rsid w:val="469F0A9E"/>
    <w:rsid w:val="46BA36E0"/>
    <w:rsid w:val="470B175E"/>
    <w:rsid w:val="47827AE0"/>
    <w:rsid w:val="48CF5C36"/>
    <w:rsid w:val="49F75108"/>
    <w:rsid w:val="4A621CD0"/>
    <w:rsid w:val="4B0A3A73"/>
    <w:rsid w:val="4B1C0CA8"/>
    <w:rsid w:val="4B5B288F"/>
    <w:rsid w:val="4B5C6F5D"/>
    <w:rsid w:val="4C0250F8"/>
    <w:rsid w:val="4C0E1C7B"/>
    <w:rsid w:val="4C3363A1"/>
    <w:rsid w:val="4C9A3F50"/>
    <w:rsid w:val="4D492011"/>
    <w:rsid w:val="4D563963"/>
    <w:rsid w:val="4D6F005D"/>
    <w:rsid w:val="4DC4669F"/>
    <w:rsid w:val="4DD359C4"/>
    <w:rsid w:val="4F7D6943"/>
    <w:rsid w:val="4F806125"/>
    <w:rsid w:val="4FF47B65"/>
    <w:rsid w:val="4FF71CFC"/>
    <w:rsid w:val="500D4DCD"/>
    <w:rsid w:val="508514D6"/>
    <w:rsid w:val="50DC0239"/>
    <w:rsid w:val="50F14121"/>
    <w:rsid w:val="51AE71F6"/>
    <w:rsid w:val="51D72CB1"/>
    <w:rsid w:val="529657D0"/>
    <w:rsid w:val="52D30F0B"/>
    <w:rsid w:val="53350847"/>
    <w:rsid w:val="5432541E"/>
    <w:rsid w:val="54BE1E3F"/>
    <w:rsid w:val="54D658C5"/>
    <w:rsid w:val="555302BE"/>
    <w:rsid w:val="56D3497A"/>
    <w:rsid w:val="58594DCC"/>
    <w:rsid w:val="58711B6E"/>
    <w:rsid w:val="58DB426C"/>
    <w:rsid w:val="58FF2585"/>
    <w:rsid w:val="5A123B43"/>
    <w:rsid w:val="5A1F6527"/>
    <w:rsid w:val="5A4F4E45"/>
    <w:rsid w:val="5A76409B"/>
    <w:rsid w:val="5AC75083"/>
    <w:rsid w:val="5ADC5E19"/>
    <w:rsid w:val="5B1B0137"/>
    <w:rsid w:val="5B57399E"/>
    <w:rsid w:val="5BC81F59"/>
    <w:rsid w:val="5BCA5273"/>
    <w:rsid w:val="5BF64EA5"/>
    <w:rsid w:val="5C122023"/>
    <w:rsid w:val="5C584438"/>
    <w:rsid w:val="5D1F1716"/>
    <w:rsid w:val="5D6E4C3E"/>
    <w:rsid w:val="5DC31F1F"/>
    <w:rsid w:val="5DD92A99"/>
    <w:rsid w:val="5E333A0C"/>
    <w:rsid w:val="5E353760"/>
    <w:rsid w:val="5F794FD8"/>
    <w:rsid w:val="5F9863B3"/>
    <w:rsid w:val="5FEB21EB"/>
    <w:rsid w:val="60807933"/>
    <w:rsid w:val="611E4F49"/>
    <w:rsid w:val="61DA1914"/>
    <w:rsid w:val="621E18D8"/>
    <w:rsid w:val="62592108"/>
    <w:rsid w:val="627A50C0"/>
    <w:rsid w:val="62CE653B"/>
    <w:rsid w:val="63126C60"/>
    <w:rsid w:val="632B7B03"/>
    <w:rsid w:val="633F5689"/>
    <w:rsid w:val="64633954"/>
    <w:rsid w:val="64747F00"/>
    <w:rsid w:val="65622887"/>
    <w:rsid w:val="671C07A9"/>
    <w:rsid w:val="67421BF9"/>
    <w:rsid w:val="67900263"/>
    <w:rsid w:val="682D6DC6"/>
    <w:rsid w:val="68A51123"/>
    <w:rsid w:val="691B1349"/>
    <w:rsid w:val="69934A52"/>
    <w:rsid w:val="69E10F81"/>
    <w:rsid w:val="6A2F38DA"/>
    <w:rsid w:val="6A4C602D"/>
    <w:rsid w:val="6B1306D6"/>
    <w:rsid w:val="6B282026"/>
    <w:rsid w:val="6B4F1E6C"/>
    <w:rsid w:val="6BA16DE0"/>
    <w:rsid w:val="6C195B2B"/>
    <w:rsid w:val="6C2B259B"/>
    <w:rsid w:val="6C3E2EE3"/>
    <w:rsid w:val="6CC2052E"/>
    <w:rsid w:val="6CD7098F"/>
    <w:rsid w:val="6DBF0F93"/>
    <w:rsid w:val="6E32177C"/>
    <w:rsid w:val="6E5339CF"/>
    <w:rsid w:val="6F920654"/>
    <w:rsid w:val="6FBC0729"/>
    <w:rsid w:val="704049C6"/>
    <w:rsid w:val="706A7393"/>
    <w:rsid w:val="7109160D"/>
    <w:rsid w:val="71525EA2"/>
    <w:rsid w:val="715C163A"/>
    <w:rsid w:val="721065DD"/>
    <w:rsid w:val="726374E1"/>
    <w:rsid w:val="73696082"/>
    <w:rsid w:val="739419D4"/>
    <w:rsid w:val="73A231E8"/>
    <w:rsid w:val="73C92276"/>
    <w:rsid w:val="73FF7E83"/>
    <w:rsid w:val="7478091A"/>
    <w:rsid w:val="754B3A1B"/>
    <w:rsid w:val="759210D0"/>
    <w:rsid w:val="759F5B15"/>
    <w:rsid w:val="75FC4E22"/>
    <w:rsid w:val="76065718"/>
    <w:rsid w:val="78833EFA"/>
    <w:rsid w:val="790F2350"/>
    <w:rsid w:val="79BA116F"/>
    <w:rsid w:val="79EE0C57"/>
    <w:rsid w:val="7A956099"/>
    <w:rsid w:val="7B497C36"/>
    <w:rsid w:val="7B606CFB"/>
    <w:rsid w:val="7B6503BE"/>
    <w:rsid w:val="7B7870BD"/>
    <w:rsid w:val="7C1E2A06"/>
    <w:rsid w:val="7C520487"/>
    <w:rsid w:val="7D233B80"/>
    <w:rsid w:val="7D845FBE"/>
    <w:rsid w:val="7EA22D23"/>
    <w:rsid w:val="7EFB055C"/>
    <w:rsid w:val="7F0561F0"/>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17</Pages>
  <Words>3751</Words>
  <Characters>4047</Characters>
  <Lines>164</Lines>
  <Paragraphs>46</Paragraphs>
  <TotalTime>11</TotalTime>
  <ScaleCrop>false</ScaleCrop>
  <LinksUpToDate>false</LinksUpToDate>
  <CharactersWithSpaces>5218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2023-01-18T02:59:00Z</cp:lastPrinted>
  <dcterms:modified xsi:type="dcterms:W3CDTF">2023-03-13T03:02:03Z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967BA5C2F5144276B305F5FFE4556777</vt:lpwstr>
  </property>
</Properties>
</file>