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安徽省宁国市智慧中心项目工程水泥材料采购</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项目编号：AHJT-2023-03-009</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2023年03月07日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spacing w:line="360" w:lineRule="auto"/>
        <w:jc w:val="center"/>
        <w:rPr>
          <w:rFonts w:hint="eastAsia" w:asciiTheme="majorEastAsia" w:hAnsiTheme="majorEastAsia" w:eastAsiaTheme="majorEastAsia" w:cstheme="majorEastAsia"/>
          <w:b w:val="0"/>
          <w:bCs/>
          <w:color w:val="auto"/>
          <w:spacing w:val="37"/>
          <w:sz w:val="30"/>
          <w:szCs w:val="30"/>
          <w:lang w:eastAsia="zh-CN"/>
        </w:rPr>
      </w:pPr>
      <w:r>
        <w:rPr>
          <w:rFonts w:hint="eastAsia" w:asciiTheme="majorEastAsia" w:hAnsiTheme="majorEastAsia" w:eastAsiaTheme="majorEastAsia" w:cstheme="majorEastAsia"/>
          <w:b w:val="0"/>
          <w:bCs/>
          <w:color w:val="auto"/>
          <w:spacing w:val="37"/>
          <w:sz w:val="30"/>
          <w:szCs w:val="30"/>
          <w:lang w:eastAsia="zh-CN"/>
        </w:rPr>
        <w:t>安徽省宁国市智慧中心项目工程水泥材料采购</w:t>
      </w:r>
    </w:p>
    <w:p>
      <w:pPr>
        <w:spacing w:line="360" w:lineRule="auto"/>
        <w:jc w:val="center"/>
        <w:rPr>
          <w:rFonts w:hint="eastAsia" w:ascii="宋体" w:hAnsi="宋体" w:eastAsia="宋体" w:cs="宋体"/>
          <w:bCs w:val="0"/>
          <w:sz w:val="36"/>
          <w:szCs w:val="36"/>
          <w:lang w:val="en-US" w:eastAsia="zh-CN"/>
        </w:rPr>
      </w:pPr>
      <w:r>
        <w:rPr>
          <w:rFonts w:hint="eastAsia" w:asciiTheme="majorEastAsia" w:hAnsiTheme="majorEastAsia" w:eastAsiaTheme="majorEastAsia" w:cstheme="majorEastAsia"/>
          <w:b/>
          <w:color w:val="000000"/>
          <w:sz w:val="36"/>
          <w:szCs w:val="36"/>
          <w:lang w:val="en-US" w:eastAsia="zh-CN"/>
        </w:rPr>
        <w:t>招标公告</w:t>
      </w:r>
      <w:bookmarkStart w:id="0" w:name="_Toc144974488"/>
      <w:bookmarkStart w:id="1" w:name="_Toc296602411"/>
      <w:bookmarkStart w:id="2" w:name="_Toc246996167"/>
      <w:bookmarkStart w:id="3" w:name="_Toc179632537"/>
      <w:bookmarkStart w:id="4" w:name="_Toc247085681"/>
      <w:bookmarkStart w:id="5" w:name="_Toc246996910"/>
      <w:bookmarkStart w:id="6" w:name="_Toc152042296"/>
      <w:bookmarkStart w:id="7" w:name="_Toc152045520"/>
      <w:bookmarkStart w:id="8" w:name="_Toc246996903"/>
      <w:bookmarkStart w:id="9" w:name="_Toc152045514"/>
      <w:bookmarkStart w:id="10" w:name="_Toc144974482"/>
      <w:bookmarkStart w:id="11" w:name="_Toc329851755"/>
      <w:bookmarkStart w:id="12" w:name="_Toc247085674"/>
      <w:bookmarkStart w:id="13" w:name="_Toc152042290"/>
      <w:bookmarkStart w:id="14" w:name="_Toc246996160"/>
      <w:bookmarkStart w:id="15" w:name="_Toc179632530"/>
    </w:p>
    <w:bookmarkEnd w:id="0"/>
    <w:bookmarkEnd w:id="1"/>
    <w:bookmarkEnd w:id="2"/>
    <w:bookmarkEnd w:id="3"/>
    <w:bookmarkEnd w:id="4"/>
    <w:bookmarkEnd w:id="5"/>
    <w:bookmarkEnd w:id="6"/>
    <w:bookmarkEnd w:id="7"/>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lang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安徽省宁国市智慧中心项目工程水泥材料采购</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9</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详见招标文件</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8"/>
      <w:bookmarkEnd w:id="9"/>
      <w:bookmarkEnd w:id="10"/>
      <w:bookmarkEnd w:id="11"/>
      <w:bookmarkEnd w:id="12"/>
      <w:bookmarkEnd w:id="13"/>
      <w:bookmarkEnd w:id="14"/>
      <w:bookmarkEnd w:id="15"/>
      <w:r>
        <w:rPr>
          <w:rFonts w:hint="eastAsia" w:ascii="宋体" w:hAnsi="宋体" w:eastAsia="宋体" w:cs="宋体"/>
          <w:sz w:val="24"/>
          <w:szCs w:val="24"/>
          <w:lang w:eastAsia="zh-CN"/>
        </w:rPr>
        <w:t xml:space="preserve">及注意事项 </w:t>
      </w:r>
      <w:bookmarkStart w:id="16" w:name="_Toc246996905"/>
      <w:bookmarkStart w:id="17" w:name="_Toc152045516"/>
      <w:bookmarkStart w:id="18" w:name="_Toc247085676"/>
      <w:bookmarkStart w:id="19" w:name="_Toc179632532"/>
      <w:bookmarkStart w:id="20" w:name="_Toc246996162"/>
      <w:bookmarkStart w:id="21" w:name="_Toc152042292"/>
      <w:bookmarkStart w:id="22" w:name="_Toc144974484"/>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w:t>
      </w:r>
      <w:r>
        <w:rPr>
          <w:rFonts w:hint="eastAsia" w:ascii="宋体" w:hAnsi="宋体" w:cs="宋体"/>
          <w:sz w:val="24"/>
          <w:szCs w:val="24"/>
          <w:lang w:val="en-US" w:eastAsia="zh-CN"/>
        </w:rPr>
        <w:t>材料采购水泥</w:t>
      </w:r>
      <w:r>
        <w:rPr>
          <w:rFonts w:hint="eastAsia" w:ascii="宋体" w:hAnsi="宋体" w:eastAsia="宋体" w:cs="宋体"/>
          <w:sz w:val="24"/>
          <w:szCs w:val="24"/>
          <w:lang w:val="en-US" w:eastAsia="zh-CN"/>
        </w:rPr>
        <w:t>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14点30分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23" w:name="_Toc296602416"/>
      <w:bookmarkEnd w:id="23"/>
      <w:bookmarkStart w:id="24" w:name="_Toc246996172"/>
      <w:bookmarkEnd w:id="24"/>
      <w:bookmarkStart w:id="25" w:name="_Toc247085686"/>
      <w:bookmarkEnd w:id="25"/>
      <w:bookmarkStart w:id="26" w:name="_Toc152045525"/>
      <w:bookmarkEnd w:id="26"/>
      <w:bookmarkStart w:id="27" w:name="_Toc152042301"/>
      <w:bookmarkEnd w:id="27"/>
      <w:bookmarkStart w:id="28" w:name="_Toc246996915"/>
      <w:bookmarkEnd w:id="28"/>
      <w:bookmarkStart w:id="29" w:name="_Toc179632542"/>
      <w:bookmarkEnd w:id="29"/>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16"/>
      <w:bookmarkEnd w:id="17"/>
      <w:bookmarkEnd w:id="18"/>
      <w:bookmarkEnd w:id="19"/>
      <w:bookmarkEnd w:id="20"/>
      <w:bookmarkEnd w:id="21"/>
      <w:bookmarkEnd w:id="22"/>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10</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53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3"/>
                <w:szCs w:val="23"/>
                <w:u w:val="none"/>
                <w:lang w:val="en-US" w:eastAsia="zh-CN"/>
              </w:rPr>
            </w:pPr>
            <w:r>
              <w:rPr>
                <w:rFonts w:hint="eastAsia" w:ascii="宋体" w:hAnsi="宋体" w:cs="宋体"/>
                <w:sz w:val="23"/>
                <w:szCs w:val="23"/>
                <w:u w:val="none"/>
                <w:lang w:val="en-US" w:eastAsia="zh-CN"/>
              </w:rPr>
              <w:t>水泥单价以海螺集团投标当时提供调价函为基础（含13个点增值税）</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安徽津腾建设工程有限公司三楼经营部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按投标单价*暂定工程量，结算按投标单价*实际工程量确定，投标单价不予调整。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2、付款方式：累计金额每达到10万元，给与支付，</w:t>
            </w:r>
            <w:r>
              <w:rPr>
                <w:rFonts w:hint="eastAsia" w:ascii="宋体" w:hAnsi="宋体" w:eastAsia="宋体" w:cs="宋体"/>
                <w:color w:val="auto"/>
                <w:spacing w:val="14"/>
                <w:sz w:val="24"/>
                <w:szCs w:val="24"/>
                <w:lang w:eastAsia="zh-CN"/>
              </w:rPr>
              <w:t>每次支付</w:t>
            </w:r>
            <w:r>
              <w:rPr>
                <w:rFonts w:hint="eastAsia" w:ascii="宋体" w:hAnsi="宋体" w:eastAsia="宋体" w:cs="宋体"/>
                <w:color w:val="auto"/>
                <w:spacing w:val="14"/>
                <w:sz w:val="24"/>
                <w:szCs w:val="24"/>
                <w:lang w:val="en-US" w:eastAsia="zh-CN"/>
              </w:rPr>
              <w:t>10万元</w:t>
            </w:r>
            <w:r>
              <w:rPr>
                <w:rFonts w:hint="eastAsia" w:ascii="宋体" w:hAnsi="宋体" w:eastAsia="宋体" w:cs="宋体"/>
                <w:color w:val="auto"/>
                <w:spacing w:val="13"/>
                <w:sz w:val="24"/>
                <w:szCs w:val="24"/>
              </w:rPr>
              <w:t>,</w:t>
            </w:r>
            <w:r>
              <w:rPr>
                <w:rFonts w:hint="eastAsia" w:ascii="宋体" w:hAnsi="宋体" w:eastAsia="宋体" w:cs="宋体"/>
                <w:color w:val="auto"/>
                <w:spacing w:val="-8"/>
                <w:sz w:val="24"/>
                <w:szCs w:val="24"/>
              </w:rPr>
              <w:t>余款</w:t>
            </w:r>
            <w:r>
              <w:rPr>
                <w:rFonts w:hint="eastAsia" w:ascii="宋体" w:hAnsi="宋体" w:eastAsia="宋体" w:cs="宋体"/>
                <w:color w:val="auto"/>
                <w:spacing w:val="-8"/>
                <w:sz w:val="24"/>
                <w:szCs w:val="24"/>
                <w:lang w:eastAsia="zh-CN"/>
              </w:rPr>
              <w:t>竣工验收合格后</w:t>
            </w:r>
            <w:r>
              <w:rPr>
                <w:rFonts w:hint="eastAsia" w:ascii="宋体" w:hAnsi="宋体" w:eastAsia="宋体" w:cs="宋体"/>
                <w:color w:val="auto"/>
                <w:spacing w:val="-8"/>
                <w:sz w:val="24"/>
                <w:szCs w:val="24"/>
              </w:rPr>
              <w:t>付清</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lang w:val="en-US" w:eastAsia="zh-CN"/>
              </w:rPr>
              <w:t>无息</w:t>
            </w: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备注：1、施工费报价：投标单价、运输单价、合计价。</w:t>
            </w:r>
          </w:p>
          <w:p>
            <w:pPr>
              <w:spacing w:line="400" w:lineRule="exact"/>
              <w:jc w:val="left"/>
              <w:rPr>
                <w:rFonts w:hint="default"/>
                <w:lang w:val="en-US" w:eastAsia="zh-CN"/>
              </w:rPr>
            </w:pPr>
            <w:r>
              <w:rPr>
                <w:rFonts w:hint="eastAsia" w:ascii="宋体" w:hAnsi="宋体" w:eastAsia="宋体" w:cs="宋体"/>
                <w:sz w:val="23"/>
                <w:szCs w:val="23"/>
                <w:lang w:val="en-US" w:eastAsia="zh-CN"/>
              </w:rPr>
              <w:t>2、开具13%增值税专用发票。</w:t>
            </w: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both"/>
        <w:rPr>
          <w:rFonts w:hint="eastAsia" w:ascii="宋体" w:hAnsi="宋体" w:eastAsia="宋体" w:cs="宋体"/>
          <w:sz w:val="32"/>
          <w:szCs w:val="32"/>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30" w:name="_Toc179632565"/>
      <w:bookmarkStart w:id="31" w:name="_Toc152042323"/>
      <w:bookmarkStart w:id="32" w:name="_Toc246996935"/>
      <w:bookmarkStart w:id="33" w:name="_Toc296602437"/>
      <w:bookmarkStart w:id="34" w:name="_Toc246996192"/>
      <w:bookmarkStart w:id="35" w:name="_Toc144974515"/>
      <w:bookmarkStart w:id="36" w:name="_Toc152045547"/>
      <w:bookmarkStart w:id="37" w:name="_Toc247085706"/>
      <w:r>
        <w:rPr>
          <w:rFonts w:hint="eastAsia" w:ascii="宋体" w:hAnsi="宋体" w:eastAsia="宋体" w:cs="宋体"/>
          <w:b/>
          <w:sz w:val="28"/>
          <w:szCs w:val="28"/>
        </w:rPr>
        <w:t>3.1投标文件的组成</w:t>
      </w:r>
      <w:bookmarkEnd w:id="30"/>
      <w:bookmarkEnd w:id="31"/>
      <w:bookmarkEnd w:id="32"/>
      <w:bookmarkEnd w:id="33"/>
      <w:bookmarkEnd w:id="34"/>
      <w:bookmarkEnd w:id="35"/>
      <w:bookmarkEnd w:id="36"/>
      <w:bookmarkEnd w:id="37"/>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b w:val="0"/>
          <w:bCs/>
          <w:color w:val="auto"/>
          <w:spacing w:val="37"/>
          <w:sz w:val="36"/>
          <w:szCs w:val="36"/>
          <w:lang w:eastAsia="zh-CN"/>
        </w:rPr>
        <w:t>安徽省宁国市智慧中心项目工程水泥材料采购</w:t>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i w:val="0"/>
          <w:iCs w:val="0"/>
          <w:color w:val="000000"/>
          <w:kern w:val="0"/>
          <w:sz w:val="22"/>
          <w:szCs w:val="22"/>
          <w:u w:val="none"/>
          <w:lang w:val="en-US" w:eastAsia="zh-CN" w:bidi="ar"/>
        </w:rPr>
        <w:t>海螺水泥325号袋装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海螺水泥325号</w:t>
      </w:r>
      <w:r>
        <w:rPr>
          <w:rFonts w:hint="eastAsia" w:cs="宋体"/>
          <w:i w:val="0"/>
          <w:iCs w:val="0"/>
          <w:color w:val="000000"/>
          <w:kern w:val="0"/>
          <w:sz w:val="22"/>
          <w:szCs w:val="22"/>
          <w:u w:val="none"/>
          <w:lang w:val="en-US" w:eastAsia="zh-CN" w:bidi="ar"/>
        </w:rPr>
        <w:t>散</w:t>
      </w:r>
      <w:r>
        <w:rPr>
          <w:rFonts w:hint="eastAsia" w:ascii="宋体" w:hAnsi="宋体" w:eastAsia="宋体" w:cs="宋体"/>
          <w:i w:val="0"/>
          <w:iCs w:val="0"/>
          <w:color w:val="000000"/>
          <w:kern w:val="0"/>
          <w:sz w:val="22"/>
          <w:szCs w:val="22"/>
          <w:u w:val="none"/>
          <w:lang w:val="en-US" w:eastAsia="zh-CN" w:bidi="ar"/>
        </w:rPr>
        <w:t>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25号袋装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i w:val="0"/>
          <w:iCs w:val="0"/>
          <w:color w:val="000000"/>
          <w:kern w:val="0"/>
          <w:sz w:val="22"/>
          <w:szCs w:val="22"/>
          <w:u w:val="none"/>
          <w:lang w:val="en-US" w:eastAsia="zh-CN" w:bidi="ar"/>
        </w:rPr>
        <w:t>海螺水泥</w:t>
      </w:r>
      <w:r>
        <w:rPr>
          <w:rFonts w:hint="eastAsia"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25号</w:t>
      </w:r>
      <w:r>
        <w:rPr>
          <w:rFonts w:hint="eastAsia" w:cs="宋体"/>
          <w:i w:val="0"/>
          <w:iCs w:val="0"/>
          <w:color w:val="000000"/>
          <w:kern w:val="0"/>
          <w:sz w:val="22"/>
          <w:szCs w:val="22"/>
          <w:u w:val="none"/>
          <w:lang w:val="en-US" w:eastAsia="zh-CN" w:bidi="ar"/>
        </w:rPr>
        <w:t>散</w:t>
      </w:r>
      <w:r>
        <w:rPr>
          <w:rFonts w:hint="eastAsia" w:ascii="宋体" w:hAnsi="宋体" w:eastAsia="宋体" w:cs="宋体"/>
          <w:i w:val="0"/>
          <w:iCs w:val="0"/>
          <w:color w:val="000000"/>
          <w:kern w:val="0"/>
          <w:sz w:val="22"/>
          <w:szCs w:val="22"/>
          <w:u w:val="none"/>
          <w:lang w:val="en-US" w:eastAsia="zh-CN" w:bidi="ar"/>
        </w:rPr>
        <w:t>装</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b w:val="0"/>
          <w:bCs/>
          <w:sz w:val="24"/>
          <w:lang w:val="en-US" w:eastAsia="zh-CN"/>
        </w:rPr>
        <w:t>/t</w:t>
      </w:r>
      <w:r>
        <w:rPr>
          <w:rFonts w:hint="eastAsia" w:ascii="宋体" w:hAnsi="宋体" w:eastAsia="宋体" w:cs="宋体"/>
          <w:color w:val="000000"/>
          <w:kern w:val="0"/>
          <w:sz w:val="21"/>
          <w:szCs w:val="21"/>
          <w:lang w:val="en-US" w:eastAsia="zh-CN" w:bidi="ar"/>
        </w:rPr>
        <w:t>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6．若成为中标候选人，本公司自愿接受招标人的考察与约谈，一旦查出有违反法律、法规等行为（挂靠、转包等行为的），</w:t>
      </w:r>
      <w:r>
        <w:rPr>
          <w:rFonts w:hint="eastAsia" w:ascii="宋体" w:hAnsi="宋体" w:eastAsia="宋体" w:cs="宋体"/>
          <w:sz w:val="24"/>
          <w:szCs w:val="21"/>
          <w:lang w:eastAsia="zh-CN" w:bidi="ar-SA"/>
        </w:rPr>
        <w:t>中标人</w:t>
      </w:r>
      <w:r>
        <w:rPr>
          <w:rFonts w:hint="eastAsia" w:ascii="宋体" w:hAnsi="宋体" w:eastAsia="宋体" w:cs="宋体"/>
          <w:sz w:val="24"/>
          <w:szCs w:val="21"/>
          <w:lang w:bidi="ar-SA"/>
        </w:rPr>
        <w:t>承担一切责任</w:t>
      </w:r>
      <w:r>
        <w:rPr>
          <w:rFonts w:hint="eastAsia" w:ascii="宋体" w:hAnsi="宋体" w:eastAsia="宋体" w:cs="宋体"/>
          <w:sz w:val="24"/>
          <w:szCs w:val="21"/>
          <w:lang w:eastAsia="zh-CN" w:bidi="ar-SA"/>
        </w:rPr>
        <w:t>并终止合同</w:t>
      </w:r>
      <w:r>
        <w:rPr>
          <w:rFonts w:hint="eastAsia" w:ascii="宋体" w:hAnsi="宋体" w:eastAsia="宋体" w:cs="宋体"/>
          <w:sz w:val="24"/>
          <w:szCs w:val="21"/>
          <w:lang w:bidi="ar-SA"/>
        </w:rPr>
        <w:t>。</w:t>
      </w:r>
    </w:p>
    <w:p>
      <w:pPr>
        <w:pStyle w:val="17"/>
        <w:spacing w:line="500" w:lineRule="exact"/>
        <w:ind w:leftChars="0" w:firstLine="420" w:firstLineChars="200"/>
        <w:rPr>
          <w:rFonts w:hint="eastAsia" w:ascii="宋体" w:hAnsi="宋体" w:eastAsia="宋体" w:cs="宋体"/>
          <w:sz w:val="21"/>
          <w:szCs w:val="21"/>
        </w:rPr>
      </w:pP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8" w:name="_Toc179632812"/>
      <w:bookmarkStart w:id="39" w:name="_Toc152045792"/>
      <w:bookmarkStart w:id="40" w:name="_Toc246997103"/>
      <w:bookmarkStart w:id="41" w:name="_Toc144974861"/>
      <w:bookmarkStart w:id="42" w:name="_Toc247085878"/>
      <w:bookmarkStart w:id="43" w:name="_Toc329851856"/>
      <w:bookmarkStart w:id="44" w:name="_Toc246996360"/>
      <w:bookmarkStart w:id="45" w:name="_Toc152042581"/>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ind w:firstLine="3534" w:firstLineChars="11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8"/>
      <w:bookmarkEnd w:id="39"/>
      <w:bookmarkEnd w:id="40"/>
      <w:bookmarkEnd w:id="41"/>
      <w:bookmarkEnd w:id="42"/>
      <w:bookmarkEnd w:id="43"/>
      <w:bookmarkEnd w:id="44"/>
      <w:bookmarkEnd w:id="45"/>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center"/>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pStyle w:val="2"/>
        <w:numPr>
          <w:ilvl w:val="0"/>
          <w:numId w:val="0"/>
        </w:numPr>
        <w:ind w:leftChars="0"/>
        <w:jc w:val="center"/>
        <w:rPr>
          <w:rFonts w:hint="eastAsia"/>
          <w:lang w:eastAsia="zh-CN"/>
        </w:rPr>
      </w:pPr>
    </w:p>
    <w:tbl>
      <w:tblPr>
        <w:tblStyle w:val="42"/>
        <w:tblW w:w="10913" w:type="dxa"/>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0"/>
        <w:gridCol w:w="2756"/>
        <w:gridCol w:w="809"/>
        <w:gridCol w:w="1289"/>
        <w:gridCol w:w="1289"/>
        <w:gridCol w:w="1289"/>
        <w:gridCol w:w="1419"/>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9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数量吨</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水泥品种</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水泥单价</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运输单价</w:t>
            </w: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合计元/吨</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color w:val="auto"/>
                <w:spacing w:val="37"/>
                <w:sz w:val="24"/>
                <w:szCs w:val="24"/>
                <w:lang w:eastAsia="zh-CN"/>
              </w:rPr>
              <w:t>安徽省宁国市智慧中心项目工程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海螺水泥325号袋装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color w:val="auto"/>
                <w:spacing w:val="37"/>
                <w:sz w:val="24"/>
                <w:szCs w:val="24"/>
                <w:lang w:eastAsia="zh-CN"/>
              </w:rPr>
              <w:t>安徽省宁国市智慧中心项目工程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海螺水泥325号散装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color w:val="auto"/>
                <w:spacing w:val="37"/>
                <w:sz w:val="24"/>
                <w:szCs w:val="24"/>
                <w:lang w:eastAsia="zh-CN"/>
              </w:rPr>
              <w:t>安徽省宁国市</w:t>
            </w:r>
            <w:bookmarkStart w:id="46" w:name="_GoBack"/>
            <w:bookmarkEnd w:id="46"/>
            <w:r>
              <w:rPr>
                <w:rFonts w:hint="eastAsia" w:asciiTheme="minorEastAsia" w:hAnsiTheme="minorEastAsia" w:eastAsiaTheme="minorEastAsia" w:cstheme="minorEastAsia"/>
                <w:b w:val="0"/>
                <w:bCs/>
                <w:color w:val="auto"/>
                <w:spacing w:val="37"/>
                <w:sz w:val="24"/>
                <w:szCs w:val="24"/>
                <w:lang w:eastAsia="zh-CN"/>
              </w:rPr>
              <w:t>智慧中心项目工程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海螺水泥425号袋装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Theme="minorEastAsia" w:hAnsiTheme="minorEastAsia" w:eastAsiaTheme="minorEastAsia" w:cstheme="minorEastAsia"/>
                <w:b w:val="0"/>
                <w:bCs/>
                <w:color w:val="auto"/>
                <w:spacing w:val="37"/>
                <w:sz w:val="24"/>
                <w:szCs w:val="24"/>
                <w:lang w:eastAsia="zh-CN"/>
              </w:rPr>
              <w:t>安徽省宁国市智慧中心项目工程</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1500（暂定）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海螺水泥425号散装</w:t>
            </w: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13"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备注：结算单价包含：装车、运输、货物、材质、送货资料等，提供13%增值税专用发票</w:t>
            </w:r>
          </w:p>
        </w:tc>
      </w:tr>
    </w:tbl>
    <w:p>
      <w:pPr>
        <w:rPr>
          <w:rFonts w:hint="eastAsia" w:ascii="宋体" w:hAnsi="宋体" w:eastAsia="宋体" w:cs="宋体"/>
          <w:b/>
          <w:sz w:val="32"/>
          <w:szCs w:val="32"/>
          <w:lang w:eastAsia="zh-CN"/>
        </w:rPr>
      </w:pPr>
      <w:r>
        <w:rPr>
          <w:rFonts w:hint="eastAsia" w:ascii="宋体" w:hAnsi="宋体" w:eastAsia="宋体" w:cs="宋体"/>
          <w:b/>
          <w:sz w:val="32"/>
          <w:szCs w:val="32"/>
          <w:lang w:eastAsia="zh-CN"/>
        </w:rPr>
        <w:br w:type="page"/>
      </w:r>
    </w:p>
    <w:p>
      <w:pPr>
        <w:rPr>
          <w:rFonts w:hint="eastAsia" w:ascii="宋体" w:hAnsi="宋体" w:eastAsia="宋体" w:cs="宋体"/>
          <w:b/>
          <w:sz w:val="32"/>
          <w:szCs w:val="32"/>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F541258-A7B4-4031-B5F5-4D334F50BAB3}"/>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80E72C2-01FA-47F4-9305-3369B3F9AB61}"/>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3" w:fontKey="{35A107B9-1E3E-41B9-9A9A-746467E41F58}"/>
  </w:font>
  <w:font w:name="Wingdings 2">
    <w:panose1 w:val="05020102010507070707"/>
    <w:charset w:val="02"/>
    <w:family w:val="auto"/>
    <w:pitch w:val="default"/>
    <w:sig w:usb0="00000000" w:usb1="00000000" w:usb2="00000000" w:usb3="00000000" w:csb0="80000000" w:csb1="00000000"/>
    <w:embedRegular r:id="rId4" w:fontKey="{2016CFD7-8A15-427E-8E03-D59AAE6791C3}"/>
  </w:font>
  <w:font w:name="仿宋">
    <w:panose1 w:val="02010609060101010101"/>
    <w:charset w:val="86"/>
    <w:family w:val="auto"/>
    <w:pitch w:val="default"/>
    <w:sig w:usb0="800002BF" w:usb1="38CF7CFA" w:usb2="00000016" w:usb3="00000000" w:csb0="00040001" w:csb1="00000000"/>
    <w:embedRegular r:id="rId5" w:fontKey="{A2B3B4BD-C441-441F-807E-6661E2579EED}"/>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58F76A9"/>
    <w:rsid w:val="0644168A"/>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0F57972"/>
    <w:rsid w:val="115F5418"/>
    <w:rsid w:val="11C5043F"/>
    <w:rsid w:val="11D05E7E"/>
    <w:rsid w:val="11DD4FBA"/>
    <w:rsid w:val="12032D4C"/>
    <w:rsid w:val="123160C9"/>
    <w:rsid w:val="12820543"/>
    <w:rsid w:val="129C6CE6"/>
    <w:rsid w:val="14C74196"/>
    <w:rsid w:val="1605006D"/>
    <w:rsid w:val="19181CAB"/>
    <w:rsid w:val="194239A5"/>
    <w:rsid w:val="19667165"/>
    <w:rsid w:val="19AA4083"/>
    <w:rsid w:val="1A7E28C3"/>
    <w:rsid w:val="1A9E3253"/>
    <w:rsid w:val="1BC25A57"/>
    <w:rsid w:val="1BCF70C8"/>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41A2924"/>
    <w:rsid w:val="25DC5FA2"/>
    <w:rsid w:val="26C03072"/>
    <w:rsid w:val="26D02619"/>
    <w:rsid w:val="26E60319"/>
    <w:rsid w:val="27D45E99"/>
    <w:rsid w:val="2812532E"/>
    <w:rsid w:val="28225715"/>
    <w:rsid w:val="2825219C"/>
    <w:rsid w:val="2910697B"/>
    <w:rsid w:val="29C9798D"/>
    <w:rsid w:val="29EF0AA3"/>
    <w:rsid w:val="2AA219B3"/>
    <w:rsid w:val="2AD665EE"/>
    <w:rsid w:val="2C916E87"/>
    <w:rsid w:val="2EF967AD"/>
    <w:rsid w:val="2F7549E3"/>
    <w:rsid w:val="30B47766"/>
    <w:rsid w:val="312F15F9"/>
    <w:rsid w:val="31D8371B"/>
    <w:rsid w:val="32D21971"/>
    <w:rsid w:val="334A32AB"/>
    <w:rsid w:val="33811C82"/>
    <w:rsid w:val="339430F0"/>
    <w:rsid w:val="33A107AE"/>
    <w:rsid w:val="33F86624"/>
    <w:rsid w:val="356F1790"/>
    <w:rsid w:val="35B33F01"/>
    <w:rsid w:val="36D65795"/>
    <w:rsid w:val="37C16E80"/>
    <w:rsid w:val="38203FCC"/>
    <w:rsid w:val="38800888"/>
    <w:rsid w:val="389C03BD"/>
    <w:rsid w:val="3A0B6C49"/>
    <w:rsid w:val="3A83183F"/>
    <w:rsid w:val="3B034672"/>
    <w:rsid w:val="3B806E1C"/>
    <w:rsid w:val="3BD02B46"/>
    <w:rsid w:val="3C522566"/>
    <w:rsid w:val="3D0A329B"/>
    <w:rsid w:val="3D141F11"/>
    <w:rsid w:val="3D214E10"/>
    <w:rsid w:val="3DA821A6"/>
    <w:rsid w:val="3F380FAB"/>
    <w:rsid w:val="3F7706C0"/>
    <w:rsid w:val="3FF46061"/>
    <w:rsid w:val="4037522A"/>
    <w:rsid w:val="40CE5F26"/>
    <w:rsid w:val="412D3E26"/>
    <w:rsid w:val="41A63F34"/>
    <w:rsid w:val="436C5E2D"/>
    <w:rsid w:val="437E6A5B"/>
    <w:rsid w:val="43AF585B"/>
    <w:rsid w:val="45607BB1"/>
    <w:rsid w:val="45A15714"/>
    <w:rsid w:val="45B927DD"/>
    <w:rsid w:val="469F0A9E"/>
    <w:rsid w:val="46BA36E0"/>
    <w:rsid w:val="470B175E"/>
    <w:rsid w:val="47345159"/>
    <w:rsid w:val="47827AE0"/>
    <w:rsid w:val="48CF5C36"/>
    <w:rsid w:val="49F75108"/>
    <w:rsid w:val="4A621CD0"/>
    <w:rsid w:val="4B0A3A73"/>
    <w:rsid w:val="4B1C0CA8"/>
    <w:rsid w:val="4B5B288F"/>
    <w:rsid w:val="4B5C6F5D"/>
    <w:rsid w:val="4C0250F8"/>
    <w:rsid w:val="4C0E1C7B"/>
    <w:rsid w:val="4C3363A1"/>
    <w:rsid w:val="4C9A3F50"/>
    <w:rsid w:val="4D492011"/>
    <w:rsid w:val="4D563963"/>
    <w:rsid w:val="4D6F005D"/>
    <w:rsid w:val="4DC4669F"/>
    <w:rsid w:val="4DD359C4"/>
    <w:rsid w:val="4F7D6943"/>
    <w:rsid w:val="4F806125"/>
    <w:rsid w:val="4FF47B65"/>
    <w:rsid w:val="4FF71CFC"/>
    <w:rsid w:val="500D4DCD"/>
    <w:rsid w:val="508514D6"/>
    <w:rsid w:val="50DC0239"/>
    <w:rsid w:val="50F14121"/>
    <w:rsid w:val="51AE71F6"/>
    <w:rsid w:val="51D72CB1"/>
    <w:rsid w:val="529657D0"/>
    <w:rsid w:val="52D30F0B"/>
    <w:rsid w:val="53350847"/>
    <w:rsid w:val="5432541E"/>
    <w:rsid w:val="54BE1E3F"/>
    <w:rsid w:val="54D658C5"/>
    <w:rsid w:val="555302BE"/>
    <w:rsid w:val="56D3497A"/>
    <w:rsid w:val="58594DCC"/>
    <w:rsid w:val="58711B6E"/>
    <w:rsid w:val="58D455C4"/>
    <w:rsid w:val="58DB426C"/>
    <w:rsid w:val="58FF2585"/>
    <w:rsid w:val="5A123B43"/>
    <w:rsid w:val="5A1F6527"/>
    <w:rsid w:val="5A4F4E45"/>
    <w:rsid w:val="5A76409B"/>
    <w:rsid w:val="5AC75083"/>
    <w:rsid w:val="5ADC5E19"/>
    <w:rsid w:val="5B1B0137"/>
    <w:rsid w:val="5B57399E"/>
    <w:rsid w:val="5BC81F59"/>
    <w:rsid w:val="5BCA5273"/>
    <w:rsid w:val="5BF64EA5"/>
    <w:rsid w:val="5C122023"/>
    <w:rsid w:val="5C584438"/>
    <w:rsid w:val="5D1F1716"/>
    <w:rsid w:val="5D6E4C3E"/>
    <w:rsid w:val="5DC31F1F"/>
    <w:rsid w:val="5DD92A99"/>
    <w:rsid w:val="5E333A0C"/>
    <w:rsid w:val="5E353760"/>
    <w:rsid w:val="5F794FD8"/>
    <w:rsid w:val="5F9863B3"/>
    <w:rsid w:val="5FEB21EB"/>
    <w:rsid w:val="60807933"/>
    <w:rsid w:val="611E4F49"/>
    <w:rsid w:val="61DA1914"/>
    <w:rsid w:val="621E18D8"/>
    <w:rsid w:val="62592108"/>
    <w:rsid w:val="627A50C0"/>
    <w:rsid w:val="62CE653B"/>
    <w:rsid w:val="63126C60"/>
    <w:rsid w:val="632B7B03"/>
    <w:rsid w:val="633F5689"/>
    <w:rsid w:val="64392D1F"/>
    <w:rsid w:val="64633954"/>
    <w:rsid w:val="64747F00"/>
    <w:rsid w:val="65622887"/>
    <w:rsid w:val="671C07A9"/>
    <w:rsid w:val="67421BF9"/>
    <w:rsid w:val="67900263"/>
    <w:rsid w:val="682D6DC6"/>
    <w:rsid w:val="691B1349"/>
    <w:rsid w:val="69333646"/>
    <w:rsid w:val="69934A52"/>
    <w:rsid w:val="69E10F81"/>
    <w:rsid w:val="6A2F38DA"/>
    <w:rsid w:val="6A4C602D"/>
    <w:rsid w:val="6B1306D6"/>
    <w:rsid w:val="6B282026"/>
    <w:rsid w:val="6B4F1E6C"/>
    <w:rsid w:val="6BA16DE0"/>
    <w:rsid w:val="6C195B2B"/>
    <w:rsid w:val="6C2B259B"/>
    <w:rsid w:val="6C3E2EE3"/>
    <w:rsid w:val="6C632CB2"/>
    <w:rsid w:val="6CC2052E"/>
    <w:rsid w:val="6CD7098F"/>
    <w:rsid w:val="6DBF0F93"/>
    <w:rsid w:val="6E32177C"/>
    <w:rsid w:val="6E5339CF"/>
    <w:rsid w:val="6F920654"/>
    <w:rsid w:val="6FBC0729"/>
    <w:rsid w:val="704049C6"/>
    <w:rsid w:val="706A7393"/>
    <w:rsid w:val="7109160D"/>
    <w:rsid w:val="71525EA2"/>
    <w:rsid w:val="715C163A"/>
    <w:rsid w:val="721065DD"/>
    <w:rsid w:val="726374E1"/>
    <w:rsid w:val="73696082"/>
    <w:rsid w:val="739419D4"/>
    <w:rsid w:val="73FF7E83"/>
    <w:rsid w:val="743E4092"/>
    <w:rsid w:val="7478091A"/>
    <w:rsid w:val="7507299F"/>
    <w:rsid w:val="754B3A1B"/>
    <w:rsid w:val="759210D0"/>
    <w:rsid w:val="759F5B15"/>
    <w:rsid w:val="75FC4E22"/>
    <w:rsid w:val="76065718"/>
    <w:rsid w:val="78833EFA"/>
    <w:rsid w:val="790F2350"/>
    <w:rsid w:val="797C0397"/>
    <w:rsid w:val="79BA116F"/>
    <w:rsid w:val="79EE0C57"/>
    <w:rsid w:val="7A956099"/>
    <w:rsid w:val="7B497C36"/>
    <w:rsid w:val="7B606CFB"/>
    <w:rsid w:val="7B6503BE"/>
    <w:rsid w:val="7B7870BD"/>
    <w:rsid w:val="7C1E2A06"/>
    <w:rsid w:val="7C520487"/>
    <w:rsid w:val="7D233B80"/>
    <w:rsid w:val="7D845FBE"/>
    <w:rsid w:val="7EA22D23"/>
    <w:rsid w:val="7EFB055C"/>
    <w:rsid w:val="7F0561F0"/>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17</Pages>
  <Words>3858</Words>
  <Characters>4173</Characters>
  <Lines>164</Lines>
  <Paragraphs>46</Paragraphs>
  <TotalTime>0</TotalTime>
  <ScaleCrop>false</ScaleCrop>
  <LinksUpToDate>false</LinksUpToDate>
  <CharactersWithSpaces>5345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2023-03-06T06:17:00Z</cp:lastPrinted>
  <dcterms:modified xsi:type="dcterms:W3CDTF">2023-03-07T02:00:44Z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D943806867B74111A6ABAF6CE2D35AD9</vt:lpwstr>
  </property>
</Properties>
</file>