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eastAsia="zh-CN"/>
        </w:rPr>
      </w:pPr>
      <w:r>
        <w:rPr>
          <w:rFonts w:hint="eastAsia" w:ascii="Times New Roman" w:hAnsi="宋体" w:eastAsia="华文中宋" w:cs="宋体"/>
          <w:b w:val="0"/>
          <w:bCs/>
          <w:color w:val="auto"/>
          <w:spacing w:val="37"/>
          <w:sz w:val="36"/>
          <w:szCs w:val="36"/>
          <w:lang w:eastAsia="zh-CN"/>
        </w:rPr>
        <w:t>安徽省宁国市河沥文化街区EPC项目建设工程 EPC（总承包）项目工程（管廊部分</w:t>
      </w:r>
      <w:r>
        <w:rPr>
          <w:rFonts w:hint="eastAsia" w:hAnsi="宋体" w:eastAsia="华文中宋" w:cs="宋体"/>
          <w:b w:val="0"/>
          <w:bCs/>
          <w:color w:val="auto"/>
          <w:spacing w:val="37"/>
          <w:sz w:val="36"/>
          <w:szCs w:val="36"/>
          <w:lang w:eastAsia="zh-CN"/>
        </w:rPr>
        <w:t>）</w:t>
      </w:r>
    </w:p>
    <w:p>
      <w:pPr>
        <w:spacing w:line="360" w:lineRule="auto"/>
        <w:jc w:val="center"/>
        <w:rPr>
          <w:rFonts w:hint="eastAsia" w:ascii="宋体" w:hAnsi="宋体" w:eastAsia="宋体" w:cs="宋体"/>
          <w:b/>
          <w:color w:val="000000"/>
          <w:sz w:val="44"/>
          <w:szCs w:val="44"/>
          <w:lang w:val="en-US" w:eastAsia="zh-CN"/>
        </w:rPr>
      </w:pPr>
      <w:r>
        <w:rPr>
          <w:rFonts w:hint="eastAsia" w:hAnsi="宋体" w:eastAsia="华文中宋" w:cs="宋体"/>
          <w:b w:val="0"/>
          <w:bCs/>
          <w:color w:val="auto"/>
          <w:spacing w:val="37"/>
          <w:sz w:val="36"/>
          <w:szCs w:val="36"/>
          <w:lang w:eastAsia="zh-CN"/>
        </w:rPr>
        <w:t>瓦</w:t>
      </w:r>
      <w:r>
        <w:rPr>
          <w:rFonts w:hint="eastAsia" w:ascii="Times New Roman" w:hAnsi="宋体" w:eastAsia="华文中宋" w:cs="宋体"/>
          <w:b w:val="0"/>
          <w:bCs/>
          <w:color w:val="auto"/>
          <w:spacing w:val="37"/>
          <w:sz w:val="36"/>
          <w:szCs w:val="36"/>
          <w:lang w:val="en-US" w:eastAsia="zh-CN"/>
        </w:rPr>
        <w:t>工</w:t>
      </w:r>
      <w:r>
        <w:rPr>
          <w:rFonts w:hint="eastAsia" w:ascii="Times New Roman" w:hAnsi="宋体" w:eastAsia="华文中宋" w:cs="宋体"/>
          <w:b w:val="0"/>
          <w:bCs/>
          <w:color w:val="auto"/>
          <w:spacing w:val="37"/>
          <w:sz w:val="36"/>
          <w:szCs w:val="36"/>
        </w:rPr>
        <w:t>劳务分包</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项目编号：AHJT-2023-03-003</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2023年03月02日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 EPC（总承包）项目工程（管廊部分）瓦</w:t>
      </w:r>
      <w:r>
        <w:rPr>
          <w:rFonts w:hint="eastAsia" w:asciiTheme="majorEastAsia" w:hAnsiTheme="majorEastAsia" w:eastAsiaTheme="majorEastAsia" w:cstheme="majorEastAsia"/>
          <w:b w:val="0"/>
          <w:bCs/>
          <w:color w:val="auto"/>
          <w:spacing w:val="37"/>
          <w:sz w:val="30"/>
          <w:szCs w:val="30"/>
          <w:lang w:val="en-US" w:eastAsia="zh-CN"/>
        </w:rPr>
        <w:t>工</w:t>
      </w:r>
      <w:r>
        <w:rPr>
          <w:rFonts w:hint="eastAsia" w:asciiTheme="majorEastAsia" w:hAnsiTheme="majorEastAsia" w:eastAsiaTheme="majorEastAsia" w:cstheme="majorEastAsia"/>
          <w:b w:val="0"/>
          <w:bCs/>
          <w:color w:val="auto"/>
          <w:spacing w:val="37"/>
          <w:sz w:val="30"/>
          <w:szCs w:val="30"/>
        </w:rPr>
        <w:t>分</w:t>
      </w:r>
      <w:r>
        <w:rPr>
          <w:rFonts w:hint="eastAsia" w:asciiTheme="majorEastAsia" w:hAnsiTheme="majorEastAsia" w:eastAsiaTheme="majorEastAsia" w:cstheme="majorEastAsia"/>
          <w:b w:val="0"/>
          <w:bCs/>
          <w:color w:val="auto"/>
          <w:spacing w:val="37"/>
          <w:sz w:val="30"/>
          <w:szCs w:val="30"/>
          <w:lang w:eastAsia="zh-CN"/>
        </w:rPr>
        <w:t>包</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152045520"/>
      <w:bookmarkStart w:id="1" w:name="_Toc246996910"/>
      <w:bookmarkStart w:id="2" w:name="_Toc246996167"/>
      <w:bookmarkStart w:id="3" w:name="_Toc247085681"/>
      <w:bookmarkStart w:id="4" w:name="_Toc144974488"/>
      <w:bookmarkStart w:id="5" w:name="_Toc296602411"/>
      <w:bookmarkStart w:id="6" w:name="_Toc152042296"/>
      <w:bookmarkStart w:id="7" w:name="_Toc179632537"/>
      <w:bookmarkStart w:id="8" w:name="_Toc152042290"/>
      <w:bookmarkStart w:id="9" w:name="_Toc246996903"/>
      <w:bookmarkStart w:id="10" w:name="_Toc246996160"/>
      <w:bookmarkStart w:id="11" w:name="_Toc179632530"/>
      <w:bookmarkStart w:id="12" w:name="_Toc152045514"/>
      <w:bookmarkStart w:id="13" w:name="_Toc144974482"/>
      <w:bookmarkStart w:id="14" w:name="_Toc329851755"/>
      <w:bookmarkStart w:id="15" w:name="_Toc247085674"/>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 EPC（总承包）项目工程（管廊部分）瓦</w:t>
      </w:r>
      <w:r>
        <w:rPr>
          <w:rFonts w:hint="eastAsia" w:asciiTheme="minorEastAsia" w:hAnsiTheme="minorEastAsia" w:eastAsiaTheme="minorEastAsia" w:cstheme="minorEastAsia"/>
          <w:b w:val="0"/>
          <w:bCs/>
          <w:color w:val="auto"/>
          <w:spacing w:val="37"/>
          <w:sz w:val="24"/>
          <w:szCs w:val="24"/>
          <w:lang w:val="en-US" w:eastAsia="zh-CN"/>
        </w:rPr>
        <w:t>工</w:t>
      </w:r>
      <w:r>
        <w:rPr>
          <w:rFonts w:hint="eastAsia" w:asciiTheme="minorEastAsia" w:hAnsiTheme="minorEastAsia" w:eastAsiaTheme="minorEastAsia" w:cstheme="minorEastAsia"/>
          <w:b w:val="0"/>
          <w:bCs/>
          <w:color w:val="auto"/>
          <w:spacing w:val="37"/>
          <w:sz w:val="24"/>
          <w:szCs w:val="24"/>
        </w:rPr>
        <w:t>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3</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6996905"/>
      <w:bookmarkStart w:id="17" w:name="_Toc152045516"/>
      <w:bookmarkStart w:id="18" w:name="_Toc247085676"/>
      <w:bookmarkStart w:id="19" w:name="_Toc144974484"/>
      <w:bookmarkStart w:id="20" w:name="_Toc246996162"/>
      <w:bookmarkStart w:id="21" w:name="_Toc179632532"/>
      <w:bookmarkStart w:id="22" w:name="_Toc152042292"/>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2.1、投标人须为安徽津腾建设工程有限公司供应商信息库劳务分包库企业。</w:t>
      </w:r>
    </w:p>
    <w:p>
      <w:pPr>
        <w:pStyle w:val="2"/>
        <w:rPr>
          <w:rFonts w:hint="eastAsia"/>
          <w:lang w:val="en-US" w:eastAsia="zh-CN"/>
        </w:rPr>
      </w:pPr>
      <w:r>
        <w:rPr>
          <w:rFonts w:hint="eastAsia" w:ascii="宋体" w:hAnsi="宋体" w:eastAsia="宋体" w:cs="宋体"/>
          <w:b w:val="0"/>
          <w:bCs w:val="0"/>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2023年03月08日</w:t>
      </w:r>
      <w:r>
        <w:rPr>
          <w:rFonts w:hint="eastAsia" w:ascii="宋体" w:hAnsi="宋体" w:eastAsia="宋体" w:cs="宋体"/>
          <w:color w:val="000000"/>
          <w:sz w:val="24"/>
          <w:szCs w:val="24"/>
          <w:u w:val="single"/>
          <w:lang w:val="en-US" w:eastAsia="zh-CN"/>
        </w:rPr>
        <w:t>09点00分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152042301"/>
      <w:bookmarkEnd w:id="23"/>
      <w:bookmarkStart w:id="24" w:name="_Toc179632542"/>
      <w:bookmarkEnd w:id="24"/>
      <w:bookmarkStart w:id="25" w:name="_Toc296602416"/>
      <w:bookmarkEnd w:id="25"/>
      <w:bookmarkStart w:id="26" w:name="_Toc246996172"/>
      <w:bookmarkEnd w:id="26"/>
      <w:bookmarkStart w:id="27" w:name="_Toc247085686"/>
      <w:bookmarkEnd w:id="27"/>
      <w:bookmarkStart w:id="28" w:name="_Toc246996915"/>
      <w:bookmarkEnd w:id="28"/>
      <w:bookmarkStart w:id="29" w:name="_Toc152045525"/>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2023年03月08日</w:t>
            </w:r>
            <w:r>
              <w:rPr>
                <w:rFonts w:hint="eastAsia" w:ascii="宋体" w:hAnsi="宋体" w:eastAsia="宋体" w:cs="宋体"/>
                <w:color w:val="000000"/>
                <w:sz w:val="23"/>
                <w:szCs w:val="23"/>
                <w:lang w:val="en-US" w:eastAsia="zh-CN"/>
              </w:rPr>
              <w:t>09</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cs="宋体"/>
                <w:sz w:val="23"/>
                <w:szCs w:val="23"/>
                <w:u w:val="none"/>
                <w:lang w:val="en-US" w:eastAsia="zh-CN"/>
              </w:rPr>
              <w:t>盖板40元/m、混凝土120元/m3,</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按投标单价*暂定面积及暂估混凝土量，结算按投标单价*实际施工面积及实际混凝土量确定，投标单价不予调整。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3、工资开具3%增值税专用发票。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5547"/>
      <w:bookmarkStart w:id="32" w:name="_Toc152042323"/>
      <w:bookmarkStart w:id="33" w:name="_Toc246996192"/>
      <w:bookmarkStart w:id="34" w:name="_Toc246996935"/>
      <w:bookmarkStart w:id="35" w:name="_Toc144974515"/>
      <w:bookmarkStart w:id="36" w:name="_Toc247085706"/>
      <w:bookmarkStart w:id="37" w:name="_Toc29660243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pacing w:val="37"/>
          <w:sz w:val="36"/>
          <w:szCs w:val="36"/>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 EPC（总承包）项目工程（管廊部分）瓦</w:t>
      </w:r>
      <w:r>
        <w:rPr>
          <w:rFonts w:hint="eastAsia" w:asciiTheme="minorEastAsia" w:hAnsiTheme="minorEastAsia" w:eastAsiaTheme="minorEastAsia" w:cstheme="minorEastAsia"/>
          <w:b w:val="0"/>
          <w:bCs/>
          <w:color w:val="auto"/>
          <w:spacing w:val="37"/>
          <w:sz w:val="36"/>
          <w:szCs w:val="36"/>
          <w:lang w:val="en-US" w:eastAsia="zh-CN"/>
        </w:rPr>
        <w:t>工</w:t>
      </w:r>
      <w:r>
        <w:rPr>
          <w:rFonts w:hint="eastAsia" w:asciiTheme="minorEastAsia" w:hAnsiTheme="minorEastAsia" w:eastAsiaTheme="minorEastAsia" w:cstheme="minorEastAsia"/>
          <w:b w:val="0"/>
          <w:bCs/>
          <w:color w:val="auto"/>
          <w:spacing w:val="37"/>
          <w:sz w:val="36"/>
          <w:szCs w:val="36"/>
        </w:rPr>
        <w:t>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盖板安装部分</w:t>
      </w:r>
      <w:r>
        <w:rPr>
          <w:rFonts w:hint="eastAsia"/>
          <w:b w:val="0"/>
          <w:bCs/>
          <w:sz w:val="24"/>
          <w:lang w:eastAsia="zh-CN"/>
        </w:rPr>
        <w:t>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/m,混凝土部分报价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329851856"/>
      <w:bookmarkStart w:id="39" w:name="_Toc144974861"/>
      <w:bookmarkStart w:id="40" w:name="_Toc247085878"/>
      <w:bookmarkStart w:id="41" w:name="_Toc246997103"/>
      <w:bookmarkStart w:id="42" w:name="_Toc246996360"/>
      <w:bookmarkStart w:id="43" w:name="_Toc152042581"/>
      <w:bookmarkStart w:id="44" w:name="_Toc179632812"/>
      <w:bookmarkStart w:id="45" w:name="_Toc15204579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W w:w="42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104"/>
        <w:gridCol w:w="1061"/>
        <w:gridCol w:w="1446"/>
        <w:gridCol w:w="1668"/>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工程名称</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单价元/m或元/m3</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金额/元</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auto"/>
                <w:sz w:val="22"/>
                <w:szCs w:val="22"/>
                <w:highlight w:val="red"/>
                <w:u w:val="none"/>
                <w:lang w:val="en-US" w:eastAsia="zh-CN"/>
              </w:rPr>
            </w:pPr>
            <w:r>
              <w:rPr>
                <w:rFonts w:hint="eastAsia" w:ascii="黑体" w:hAnsi="宋体" w:eastAsia="黑体" w:cs="黑体"/>
                <w:i w:val="0"/>
                <w:iCs w:val="0"/>
                <w:color w:val="000000"/>
                <w:sz w:val="22"/>
                <w:szCs w:val="22"/>
                <w:highlight w:val="none"/>
                <w:u w:val="none"/>
                <w:lang w:val="en-US" w:eastAsia="zh-CN"/>
              </w:rPr>
              <w:t>盖</w:t>
            </w:r>
            <w:r>
              <w:rPr>
                <w:rFonts w:hint="eastAsia" w:ascii="黑体" w:hAnsi="宋体" w:eastAsia="黑体" w:cs="黑体"/>
                <w:b/>
                <w:bCs/>
                <w:i w:val="0"/>
                <w:iCs w:val="0"/>
                <w:color w:val="000000"/>
                <w:sz w:val="22"/>
                <w:szCs w:val="22"/>
                <w:highlight w:val="none"/>
                <w:u w:val="none"/>
                <w:lang w:val="en-US" w:eastAsia="zh-CN"/>
              </w:rPr>
              <w:t>板安装</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lang w:val="en-US" w:eastAsia="zh-CN"/>
              </w:rPr>
            </w:pPr>
            <w:r>
              <w:rPr>
                <w:rFonts w:hint="eastAsia" w:ascii="黑体" w:hAnsi="宋体" w:eastAsia="黑体" w:cs="黑体"/>
                <w:i w:val="0"/>
                <w:iCs w:val="0"/>
                <w:color w:val="000000"/>
                <w:sz w:val="22"/>
                <w:szCs w:val="22"/>
                <w:highlight w:val="none"/>
                <w:u w:val="none"/>
                <w:lang w:val="en-US" w:eastAsia="zh-CN"/>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highlight w:val="red"/>
                <w:u w:val="none"/>
                <w:lang w:val="en-US" w:eastAsia="zh-CN"/>
              </w:rPr>
            </w:pPr>
            <w:r>
              <w:rPr>
                <w:rFonts w:hint="eastAsia" w:ascii="黑体" w:hAnsi="宋体" w:eastAsia="黑体" w:cs="黑体"/>
                <w:i w:val="0"/>
                <w:iCs w:val="0"/>
                <w:color w:val="000000"/>
                <w:kern w:val="0"/>
                <w:sz w:val="22"/>
                <w:szCs w:val="22"/>
                <w:highlight w:val="none"/>
                <w:u w:val="none"/>
                <w:lang w:val="en-US" w:eastAsia="zh-CN" w:bidi="ar"/>
              </w:rPr>
              <w:t>元/m含凿毛，修补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highlight w:val="red"/>
                <w:u w:val="none"/>
                <w:lang w:eastAsia="zh-CN"/>
              </w:rPr>
            </w:pPr>
            <w:r>
              <w:rPr>
                <w:rFonts w:hint="eastAsia" w:ascii="黑体" w:hAnsi="宋体" w:eastAsia="黑体" w:cs="黑体"/>
                <w:i w:val="0"/>
                <w:iCs w:val="0"/>
                <w:color w:val="000000"/>
                <w:sz w:val="22"/>
                <w:szCs w:val="22"/>
                <w:highlight w:val="none"/>
                <w:u w:val="none"/>
                <w:lang w:eastAsia="zh-CN"/>
              </w:rPr>
              <w:t>混凝土</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lang w:val="en-US" w:eastAsia="zh-CN"/>
              </w:rPr>
            </w:pPr>
            <w:r>
              <w:rPr>
                <w:rFonts w:hint="eastAsia" w:ascii="黑体" w:hAnsi="宋体" w:eastAsia="黑体" w:cs="黑体"/>
                <w:i w:val="0"/>
                <w:iCs w:val="0"/>
                <w:color w:val="000000"/>
                <w:sz w:val="22"/>
                <w:szCs w:val="22"/>
                <w:highlight w:val="none"/>
                <w:u w:val="none"/>
                <w:lang w:val="en-US" w:eastAsia="zh-CN"/>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highlight w:val="red"/>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黑体" w:hAnsi="宋体" w:eastAsia="黑体" w:cs="黑体"/>
                <w:i w:val="0"/>
                <w:iCs w:val="0"/>
                <w:color w:val="000000"/>
                <w:sz w:val="22"/>
                <w:szCs w:val="22"/>
                <w:highlight w:val="red"/>
                <w:u w:val="none"/>
                <w:lang w:val="en-US"/>
              </w:rPr>
            </w:pPr>
            <w:r>
              <w:rPr>
                <w:rFonts w:hint="eastAsia" w:ascii="黑体" w:hAnsi="宋体" w:eastAsia="黑体" w:cs="黑体"/>
                <w:i w:val="0"/>
                <w:iCs w:val="0"/>
                <w:color w:val="000000"/>
                <w:kern w:val="0"/>
                <w:sz w:val="22"/>
                <w:szCs w:val="22"/>
                <w:highlight w:val="none"/>
                <w:u w:val="none"/>
                <w:lang w:val="en-US" w:eastAsia="zh-CN" w:bidi="ar"/>
              </w:rPr>
              <w:t>元/m3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iCs w:val="0"/>
                <w:color w:val="000000"/>
                <w:sz w:val="22"/>
                <w:szCs w:val="22"/>
                <w:u w:val="none"/>
                <w:lang w:val="en-US" w:eastAsia="zh-CN"/>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bookmarkStart w:id="46" w:name="_GoBack"/>
            <w:bookmarkEnd w:id="46"/>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黑体" w:hAnsi="宋体" w:eastAsia="黑体" w:cs="黑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u w:val="none"/>
              </w:rPr>
            </w:pPr>
          </w:p>
        </w:tc>
      </w:tr>
    </w:tbl>
    <w:p>
      <w:pPr>
        <w:pStyle w:val="2"/>
        <w:numPr>
          <w:ilvl w:val="0"/>
          <w:numId w:val="0"/>
        </w:numPr>
        <w:ind w:leftChars="0"/>
        <w:rPr>
          <w:rFonts w:hint="eastAsia"/>
          <w:lang w:eastAsia="zh-CN"/>
        </w:rPr>
      </w:pPr>
    </w:p>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BE34A-57DE-424A-BC0B-1E9A71FF65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2365867-A699-45DE-A85C-AF8149F63DD2}"/>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E759B0D-9B4B-4C53-83F1-6EB4B89ACF08}"/>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80C17A17-23DF-4841-B97B-7A180144D51B}"/>
  </w:font>
  <w:font w:name="Wingdings 2">
    <w:panose1 w:val="05020102010507070707"/>
    <w:charset w:val="02"/>
    <w:family w:val="auto"/>
    <w:pitch w:val="default"/>
    <w:sig w:usb0="00000000" w:usb1="00000000" w:usb2="00000000" w:usb3="00000000" w:csb0="80000000" w:csb1="00000000"/>
    <w:embedRegular r:id="rId5" w:fontKey="{7505CABD-2810-4F9A-AE4C-8E5A1C2C133E}"/>
  </w:font>
  <w:font w:name="仿宋">
    <w:panose1 w:val="02010609060101010101"/>
    <w:charset w:val="86"/>
    <w:family w:val="auto"/>
    <w:pitch w:val="default"/>
    <w:sig w:usb0="800002BF" w:usb1="38CF7CFA" w:usb2="00000016" w:usb3="00000000" w:csb0="00040001" w:csb1="00000000"/>
    <w:embedRegular r:id="rId6" w:fontKey="{4C6326E2-BD96-4AB3-965B-3C46E099325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2CB10AA"/>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C03072"/>
    <w:rsid w:val="26D02619"/>
    <w:rsid w:val="26E60319"/>
    <w:rsid w:val="27D45E99"/>
    <w:rsid w:val="2812532E"/>
    <w:rsid w:val="28225715"/>
    <w:rsid w:val="2825219C"/>
    <w:rsid w:val="2910697B"/>
    <w:rsid w:val="29C9798D"/>
    <w:rsid w:val="29EF0AA3"/>
    <w:rsid w:val="2AD665EE"/>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800888"/>
    <w:rsid w:val="389C03BD"/>
    <w:rsid w:val="3A0B6C49"/>
    <w:rsid w:val="3A83183F"/>
    <w:rsid w:val="3AC532D4"/>
    <w:rsid w:val="3B034672"/>
    <w:rsid w:val="3B5113E7"/>
    <w:rsid w:val="3B806E1C"/>
    <w:rsid w:val="3BD02B46"/>
    <w:rsid w:val="3C522566"/>
    <w:rsid w:val="3D0A329B"/>
    <w:rsid w:val="3D141F11"/>
    <w:rsid w:val="3D214E10"/>
    <w:rsid w:val="3F380FAB"/>
    <w:rsid w:val="3F7706C0"/>
    <w:rsid w:val="3F9875F9"/>
    <w:rsid w:val="3FF46061"/>
    <w:rsid w:val="4037522A"/>
    <w:rsid w:val="40CE5F26"/>
    <w:rsid w:val="412D3E26"/>
    <w:rsid w:val="41A63F34"/>
    <w:rsid w:val="436C5E2D"/>
    <w:rsid w:val="437E6A5B"/>
    <w:rsid w:val="43AF585B"/>
    <w:rsid w:val="45607BB1"/>
    <w:rsid w:val="45B927DD"/>
    <w:rsid w:val="469F0A9E"/>
    <w:rsid w:val="46BA36E0"/>
    <w:rsid w:val="47827AE0"/>
    <w:rsid w:val="4790043C"/>
    <w:rsid w:val="48CF5C36"/>
    <w:rsid w:val="49F75108"/>
    <w:rsid w:val="4A621CD0"/>
    <w:rsid w:val="4B0A3A73"/>
    <w:rsid w:val="4B1C0CA8"/>
    <w:rsid w:val="4B505A8A"/>
    <w:rsid w:val="4B5B288F"/>
    <w:rsid w:val="4B5C6F5D"/>
    <w:rsid w:val="4B73260D"/>
    <w:rsid w:val="4C0250F8"/>
    <w:rsid w:val="4C0E1C7B"/>
    <w:rsid w:val="4C3363A1"/>
    <w:rsid w:val="4C9A3F50"/>
    <w:rsid w:val="4D492011"/>
    <w:rsid w:val="4D563963"/>
    <w:rsid w:val="4D6F005D"/>
    <w:rsid w:val="4DC4669F"/>
    <w:rsid w:val="4DD359C4"/>
    <w:rsid w:val="4E851D02"/>
    <w:rsid w:val="4F7D6943"/>
    <w:rsid w:val="4F806125"/>
    <w:rsid w:val="4FF47B65"/>
    <w:rsid w:val="4FF71CFC"/>
    <w:rsid w:val="500D4DCD"/>
    <w:rsid w:val="508514D6"/>
    <w:rsid w:val="50DC0239"/>
    <w:rsid w:val="50F14121"/>
    <w:rsid w:val="5162239A"/>
    <w:rsid w:val="51AE71F6"/>
    <w:rsid w:val="51D72CB1"/>
    <w:rsid w:val="529657D0"/>
    <w:rsid w:val="52D30F0B"/>
    <w:rsid w:val="53350847"/>
    <w:rsid w:val="5432541E"/>
    <w:rsid w:val="54BE1E3F"/>
    <w:rsid w:val="54D658C5"/>
    <w:rsid w:val="555302BE"/>
    <w:rsid w:val="56D3497A"/>
    <w:rsid w:val="58594DCC"/>
    <w:rsid w:val="58711B6E"/>
    <w:rsid w:val="58DB426C"/>
    <w:rsid w:val="58FF2585"/>
    <w:rsid w:val="5A123B43"/>
    <w:rsid w:val="5A1F6527"/>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5641891"/>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9210D0"/>
    <w:rsid w:val="759F5B15"/>
    <w:rsid w:val="75FC4E22"/>
    <w:rsid w:val="76065718"/>
    <w:rsid w:val="768F0231"/>
    <w:rsid w:val="78833EFA"/>
    <w:rsid w:val="790F2350"/>
    <w:rsid w:val="79BA116F"/>
    <w:rsid w:val="79EE0C57"/>
    <w:rsid w:val="7A956099"/>
    <w:rsid w:val="7B497C36"/>
    <w:rsid w:val="7B606CFB"/>
    <w:rsid w:val="7B6503BE"/>
    <w:rsid w:val="7B7870BD"/>
    <w:rsid w:val="7C1E2A06"/>
    <w:rsid w:val="7C520487"/>
    <w:rsid w:val="7D233B80"/>
    <w:rsid w:val="7D845FBE"/>
    <w:rsid w:val="7DDE5A5D"/>
    <w:rsid w:val="7E8C794D"/>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3844</Words>
  <Characters>4160</Characters>
  <Lines>164</Lines>
  <Paragraphs>46</Paragraphs>
  <TotalTime>8</TotalTime>
  <ScaleCrop>false</ScaleCrop>
  <LinksUpToDate>false</LinksUpToDate>
  <CharactersWithSpaces>5387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2023-01-18T02:59:00Z</cp:lastPrinted>
  <dcterms:modified xsi:type="dcterms:W3CDTF">2023-03-02T01:12:11Z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61E25BFCDCAA4F2DB92EAA51623413D2</vt:lpwstr>
  </property>
</Properties>
</file>